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吉木乃县消防救援大队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吉木乃县消防救援大队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吉木乃县消防救援大队2024年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吉木乃县消防救援大队2024年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吉木乃县消防救援大队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吉木乃县消防救援大队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吉木乃县消防救援大队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吉木乃县消防救援大队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val="en-US" w:eastAsia="zh-CN"/>
              </w:rPr>
            </w:pPr>
            <w:r>
              <w:rPr>
                <w:rFonts w:hint="eastAsia" w:cs="Times New Roman"/>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吉木乃县消防救援大队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pPr>
      <w:r>
        <w:drawing>
          <wp:inline distT="0" distB="0" distL="114300" distR="114300">
            <wp:extent cx="5753100" cy="3835400"/>
            <wp:effectExtent l="0" t="0" r="7620" b="508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3100" cy="383540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0560" cy="2442845"/>
            <wp:effectExtent l="0" t="0" r="10160" b="1079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0560" cy="244284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3100" cy="2207895"/>
            <wp:effectExtent l="0" t="0" r="7620" b="190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53100" cy="220789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0560" cy="3766820"/>
            <wp:effectExtent l="0" t="0" r="10160" b="1270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0560" cy="376682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4370" cy="2489200"/>
            <wp:effectExtent l="0" t="0" r="6350" b="1016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4370" cy="248920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49925" cy="2297430"/>
            <wp:effectExtent l="0" t="0" r="10795" b="381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49925" cy="2297430"/>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jc w:val="left"/>
      </w:pPr>
      <w:r>
        <w:drawing>
          <wp:inline distT="0" distB="0" distL="114300" distR="114300">
            <wp:extent cx="5751830" cy="3551555"/>
            <wp:effectExtent l="0" t="0" r="8890" b="1460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1830" cy="355155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6275" cy="1830070"/>
            <wp:effectExtent l="0" t="0" r="4445" b="1397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6275" cy="183007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6910" cy="2066925"/>
            <wp:effectExtent l="0" t="0" r="3810" b="571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6910" cy="206692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8180" cy="1768475"/>
            <wp:effectExtent l="0" t="0" r="2540" b="1460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8180" cy="176847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rFonts w:hint="default" w:ascii="Times New Roman" w:hAnsi="Times New Roman" w:eastAsia="黑体" w:cs="Times New Roman"/>
          <w:b/>
          <w:sz w:val="36"/>
          <w:szCs w:val="36"/>
          <w:lang w:eastAsia="zh-CN"/>
        </w:rPr>
      </w:pPr>
      <w:r>
        <w:drawing>
          <wp:inline distT="0" distB="0" distL="114300" distR="114300">
            <wp:extent cx="5755640" cy="1665605"/>
            <wp:effectExtent l="0" t="0" r="5080" b="10795"/>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7"/>
                    <a:stretch>
                      <a:fillRect/>
                    </a:stretch>
                  </pic:blipFill>
                  <pic:spPr>
                    <a:xfrm>
                      <a:off x="0" y="0"/>
                      <a:ext cx="5755640" cy="1665605"/>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4" w:name="_GoBack"/>
      <w:bookmarkEnd w:id="4"/>
      <w:bookmarkStart w:id="0" w:name="_1490679828"/>
      <w:bookmarkEnd w:id="0"/>
      <w:bookmarkStart w:id="1" w:name="_1490679756"/>
      <w:bookmarkEnd w:id="1"/>
      <w:bookmarkStart w:id="2" w:name="_1490939084"/>
      <w:bookmarkEnd w:id="2"/>
      <w:bookmarkStart w:id="3" w:name="_1490679875"/>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吉木乃县消防救援大队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总收入189.67</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其中本年收入154.95万元，年初结转和结余34.72万元。具体情况如下图（图1）：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58440"/>
            <wp:effectExtent l="0" t="0" r="7620" b="0"/>
            <wp:docPr id="52" name="图片 52" descr="e1247419-52f3-4698-be6d-4fa8c9e122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e1247419-52f3-4698-be6d-4fa8c9e1225e"/>
                    <pic:cNvPicPr>
                      <a:picLocks noChangeAspect="1"/>
                    </pic:cNvPicPr>
                  </pic:nvPicPr>
                  <pic:blipFill>
                    <a:blip r:embed="rId18"/>
                    <a:stretch>
                      <a:fillRect/>
                    </a:stretch>
                  </pic:blipFill>
                  <pic:spPr>
                    <a:xfrm>
                      <a:off x="0" y="0"/>
                      <a:ext cx="4838700" cy="275844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default" w:ascii="Times New Roman" w:hAnsi="Times New Roman" w:eastAsia="方正黑体_GBK" w:cs="Times New Roman"/>
          <w:b w:val="0"/>
          <w:bCs w:val="0"/>
          <w:sz w:val="32"/>
          <w:szCs w:val="32"/>
        </w:rPr>
      </w:pP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FF0000"/>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财政拨款收入32.24万元。系吉木乃县消防救援大队当年从中央财政取得一般公共预算资金。</w:t>
      </w:r>
      <w:r>
        <w:rPr>
          <w:rFonts w:hint="eastAsia" w:eastAsia="方正仿宋_GBK" w:cs="Times New Roman"/>
          <w:color w:val="auto"/>
          <w:sz w:val="32"/>
          <w:szCs w:val="32"/>
          <w:lang w:val="en-US" w:eastAsia="zh-CN"/>
        </w:rPr>
        <w:t>比2023年度决算数增加2.24万元，增加7.47%，主要原因是人员增加，伙食费增加。</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kern w:val="2"/>
          <w:sz w:val="32"/>
          <w:szCs w:val="32"/>
          <w:lang w:val="en-US" w:eastAsia="zh-CN" w:bidi="ar-SA"/>
        </w:rPr>
      </w:pPr>
      <w:r>
        <w:rPr>
          <w:rFonts w:hint="eastAsia" w:ascii="Times New Roman" w:hAnsi="Times New Roman" w:eastAsia="方正仿宋_GBK" w:cs="Times New Roman"/>
          <w:kern w:val="2"/>
          <w:sz w:val="32"/>
          <w:szCs w:val="32"/>
          <w:lang w:val="en-US" w:eastAsia="zh-CN" w:bidi="ar-SA"/>
        </w:rPr>
        <w:t>（2）其他收入</w:t>
      </w:r>
      <w:r>
        <w:rPr>
          <w:rFonts w:hint="eastAsia" w:eastAsia="方正仿宋_GBK" w:cs="Times New Roman"/>
          <w:kern w:val="2"/>
          <w:sz w:val="32"/>
          <w:szCs w:val="32"/>
          <w:lang w:val="en-US" w:eastAsia="zh-CN" w:bidi="ar-SA"/>
        </w:rPr>
        <w:t>122.71</w:t>
      </w:r>
      <w:r>
        <w:rPr>
          <w:rFonts w:hint="eastAsia" w:ascii="Times New Roman" w:hAnsi="Times New Roman" w:eastAsia="方正仿宋_GBK" w:cs="Times New Roman"/>
          <w:kern w:val="2"/>
          <w:sz w:val="32"/>
          <w:szCs w:val="32"/>
          <w:lang w:val="en-US" w:eastAsia="zh-CN" w:bidi="ar-SA"/>
        </w:rPr>
        <w:t>万元。系</w:t>
      </w:r>
      <w:r>
        <w:rPr>
          <w:rFonts w:hint="eastAsia" w:eastAsia="方正仿宋_GBK" w:cs="Times New Roman"/>
          <w:sz w:val="32"/>
          <w:szCs w:val="32"/>
          <w:lang w:val="en-US" w:eastAsia="zh-CN"/>
        </w:rPr>
        <w:t>吉木乃县消防救援大队</w:t>
      </w:r>
      <w:r>
        <w:rPr>
          <w:rFonts w:hint="eastAsia" w:ascii="Times New Roman" w:hAnsi="Times New Roman" w:eastAsia="方正仿宋_GBK" w:cs="Times New Roman"/>
          <w:kern w:val="2"/>
          <w:sz w:val="32"/>
          <w:szCs w:val="32"/>
          <w:lang w:val="en-US" w:eastAsia="zh-CN" w:bidi="ar-SA"/>
        </w:rPr>
        <w:t>当年从</w:t>
      </w:r>
      <w:r>
        <w:rPr>
          <w:rFonts w:hint="eastAsia" w:eastAsia="方正仿宋_GBK" w:cs="Times New Roman"/>
          <w:kern w:val="2"/>
          <w:sz w:val="32"/>
          <w:szCs w:val="32"/>
          <w:lang w:val="en-US" w:eastAsia="zh-CN" w:bidi="ar-SA"/>
        </w:rPr>
        <w:t>地方争取的消防业务经费</w:t>
      </w:r>
      <w:r>
        <w:rPr>
          <w:rFonts w:hint="eastAsia" w:ascii="Times New Roman" w:hAnsi="Times New Roman" w:eastAsia="方正仿宋_GBK" w:cs="Times New Roman"/>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w:t>
      </w:r>
      <w:r>
        <w:rPr>
          <w:rFonts w:hint="eastAsia" w:eastAsia="方正仿宋_GBK" w:cs="Times New Roman"/>
          <w:color w:val="auto"/>
          <w:kern w:val="2"/>
          <w:sz w:val="32"/>
          <w:szCs w:val="32"/>
          <w:lang w:val="en-US" w:eastAsia="zh-CN" w:bidi="ar-SA"/>
        </w:rPr>
        <w:t>减少16.06，降低11.57</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2023追加指战员以前年度绩效奖</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FF0000"/>
          <w:kern w:val="2"/>
          <w:sz w:val="32"/>
          <w:szCs w:val="32"/>
          <w:lang w:val="en-US" w:eastAsia="zh-CN" w:bidi="ar-SA"/>
        </w:rPr>
      </w:pPr>
      <w:r>
        <w:rPr>
          <w:rFonts w:hint="eastAsia" w:eastAsia="方正仿宋_GBK" w:cs="Times New Roman"/>
          <w:kern w:val="2"/>
          <w:sz w:val="32"/>
          <w:szCs w:val="32"/>
          <w:lang w:val="en-US" w:eastAsia="zh-CN" w:bidi="ar-SA"/>
        </w:rPr>
        <w:t>（3）年初结转和结余34.72万元。系</w:t>
      </w:r>
      <w:r>
        <w:rPr>
          <w:rFonts w:hint="eastAsia" w:eastAsia="方正仿宋_GBK" w:cs="Times New Roman"/>
          <w:sz w:val="32"/>
          <w:szCs w:val="32"/>
          <w:lang w:val="en-US" w:eastAsia="zh-CN"/>
        </w:rPr>
        <w:t>吉木乃县消防救援大队</w:t>
      </w:r>
      <w:r>
        <w:rPr>
          <w:rFonts w:hint="eastAsia" w:eastAsia="方正仿宋_GBK" w:cs="Times New Roman"/>
          <w:kern w:val="2"/>
          <w:sz w:val="32"/>
          <w:szCs w:val="32"/>
          <w:lang w:val="en-US" w:eastAsia="zh-CN" w:bidi="ar-SA"/>
        </w:rPr>
        <w:t>当年结转人员</w:t>
      </w:r>
      <w:r>
        <w:rPr>
          <w:rFonts w:hint="eastAsia" w:eastAsia="方正仿宋_GBK" w:cs="Times New Roman"/>
          <w:color w:val="auto"/>
          <w:kern w:val="2"/>
          <w:sz w:val="32"/>
          <w:szCs w:val="32"/>
          <w:lang w:val="en-US" w:eastAsia="zh-CN" w:bidi="ar-SA"/>
        </w:rPr>
        <w:t>经费。比2023年度决算数减少65.94万元，降低65.51%，主要原因是指战员以前年度绩效暂未发放。</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支出166.90</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default" w:eastAsia="方正仿宋_GBK" w:cs="Times New Roman"/>
          <w:kern w:val="2"/>
          <w:sz w:val="32"/>
          <w:szCs w:val="32"/>
          <w:lang w:val="en-US" w:eastAsia="zh-CN" w:bidi="ar-SA"/>
        </w:rPr>
      </w:pPr>
      <w:r>
        <w:drawing>
          <wp:inline distT="0" distB="0" distL="114300" distR="114300">
            <wp:extent cx="4826000" cy="2743200"/>
            <wp:effectExtent l="4445" t="4445" r="15875" b="10795"/>
            <wp:docPr id="4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color w:val="auto"/>
          <w:sz w:val="32"/>
          <w:szCs w:val="32"/>
          <w:lang w:val="en-US" w:eastAsia="zh-CN"/>
        </w:rPr>
        <w:t>灾害防治及应急管理支出（类）166.90万元。主要用于指战员工资福利、伙食费、公用经费等支出。比2023年度决算数减少67.8万元，降低28.89%，主要原因为2023年补发指战员以前年度绩效奖导致。</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sz w:val="32"/>
          <w:szCs w:val="32"/>
          <w:lang w:val="en-US" w:eastAsia="zh-CN"/>
        </w:rPr>
      </w:pPr>
      <w:r>
        <w:rPr>
          <w:rFonts w:hint="eastAsia" w:eastAsia="方正仿宋_GBK" w:cs="Times New Roman"/>
          <w:sz w:val="32"/>
          <w:szCs w:val="32"/>
          <w:lang w:val="en-US" w:eastAsia="zh-CN"/>
        </w:rPr>
        <w:t>年末结转和结余（类）23.76万元。主要为人员经费及公用经费等款。比2023年度决算数降低10.96万元，降低31.56%，主要原因是2023年底部分指战员绩效未发放，2024年予以发放。</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w:t>
      </w:r>
      <w:r>
        <w:rPr>
          <w:rFonts w:hint="eastAsia" w:eastAsia="方正仿宋_GBK" w:cs="Times New Roman"/>
          <w:color w:val="000000" w:themeColor="text1"/>
          <w:kern w:val="0"/>
          <w:sz w:val="32"/>
          <w:szCs w:val="32"/>
          <w:lang w:val="en-US" w:eastAsia="zh-CN"/>
          <w14:textFill>
            <w14:solidFill>
              <w14:schemeClr w14:val="tx1"/>
            </w14:solidFill>
          </w14:textFill>
        </w:rPr>
        <w:t>32.24</w:t>
      </w:r>
      <w:r>
        <w:rPr>
          <w:rFonts w:hint="eastAsia" w:eastAsia="方正仿宋_GBK" w:cs="Times New Roman"/>
          <w:sz w:val="32"/>
          <w:szCs w:val="32"/>
          <w:lang w:val="en-US" w:eastAsia="zh-CN"/>
        </w:rPr>
        <w:t>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6" name="图片 56" descr="a697d8ce-1e21-4d2a-806c-64805771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697d8ce-1e21-4d2a-806c-648057710796"/>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32.24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w:t>
      </w:r>
      <w:r>
        <w:rPr>
          <w:rFonts w:hint="default" w:ascii="Times New Roman" w:hAnsi="Times New Roman" w:eastAsia="方正仿宋_GBK" w:cs="Times New Roman"/>
          <w:color w:val="000000" w:themeColor="text1"/>
          <w:kern w:val="0"/>
          <w:sz w:val="32"/>
          <w:szCs w:val="32"/>
          <w:highlight w:val="none"/>
          <w14:textFill>
            <w14:solidFill>
              <w14:schemeClr w14:val="tx1"/>
            </w14:solidFill>
          </w14:textFill>
        </w:rPr>
        <w:t>，</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19.43</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增加2.24</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增加7.47</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主要为人员增加，伙食费增加</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32.24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万元，主要用于以下方面：住灾害防治及应急管理（类）支出</w:t>
      </w:r>
      <w:r>
        <w:rPr>
          <w:rFonts w:hint="eastAsia" w:eastAsia="方正仿宋_GBK" w:cs="Times New Roman"/>
          <w:color w:val="000000" w:themeColor="text1"/>
          <w:kern w:val="0"/>
          <w:sz w:val="32"/>
          <w:szCs w:val="32"/>
          <w:lang w:val="en-US" w:eastAsia="zh-CN"/>
          <w14:textFill>
            <w14:solidFill>
              <w14:schemeClr w14:val="tx1"/>
            </w14:solidFill>
          </w14:textFill>
        </w:rPr>
        <w:t>32.24</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auto"/>
          <w:kern w:val="0"/>
          <w:sz w:val="32"/>
          <w:szCs w:val="32"/>
          <w:highlight w:val="none"/>
          <w:lang w:val="en-US" w:eastAsia="zh-CN" w:bidi="ar-SA"/>
        </w:rPr>
        <w:t>32.24</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auto"/>
          <w:kern w:val="0"/>
          <w:sz w:val="32"/>
          <w:szCs w:val="32"/>
          <w:highlight w:val="none"/>
          <w:lang w:val="en-US" w:eastAsia="zh-CN" w:bidi="ar-SA"/>
        </w:rPr>
        <w:t>32.24</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auto"/>
          <w:kern w:val="0"/>
          <w:sz w:val="32"/>
          <w:szCs w:val="32"/>
          <w:lang w:val="en-US" w:eastAsia="zh-CN" w:bidi="ar-SA"/>
        </w:rPr>
        <w:t>32.24</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auto"/>
          <w:kern w:val="0"/>
          <w:sz w:val="32"/>
          <w:szCs w:val="32"/>
          <w:lang w:val="en-US" w:eastAsia="zh-CN" w:bidi="ar-SA"/>
        </w:rPr>
        <w:t>32.24</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0.00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基本支出全部在支队进行统一核算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基本支出全部在支队进行统一核算。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基本支出全部在支队进行统一核算</w:t>
      </w:r>
      <w:r>
        <w:rPr>
          <w:rFonts w:hint="default" w:ascii="Times New Roman" w:hAnsi="Times New Roman" w:eastAsia="方正仿宋_GBK" w:cs="Times New Roman"/>
          <w:color w:val="auto"/>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吉木乃县消防救援大队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吉木乃县消防救援大队此项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FF0000"/>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kern w:val="2"/>
          <w:sz w:val="32"/>
          <w:szCs w:val="32"/>
          <w:highlight w:val="none"/>
          <w:lang w:val="en-US" w:eastAsia="zh-CN" w:bidi="ar-SA"/>
        </w:rPr>
        <w:t>基本支出全部在支队进行统一</w:t>
      </w:r>
      <w:r>
        <w:rPr>
          <w:rFonts w:hint="eastAsia" w:eastAsia="方正仿宋_GBK" w:cs="Times New Roman"/>
          <w:color w:val="auto"/>
          <w:kern w:val="2"/>
          <w:sz w:val="32"/>
          <w:szCs w:val="32"/>
          <w:highlight w:val="none"/>
          <w:lang w:val="en-US" w:eastAsia="zh-CN" w:bidi="ar-SA"/>
        </w:rPr>
        <w:t>核算</w:t>
      </w:r>
      <w:r>
        <w:rPr>
          <w:rFonts w:hint="default" w:ascii="Times New Roman" w:hAnsi="Times New Roman" w:eastAsia="方正仿宋_GBK" w:cs="Times New Roman"/>
          <w:color w:val="auto"/>
          <w:sz w:val="32"/>
          <w:szCs w:val="32"/>
        </w:rPr>
        <w:t>。</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基本支出全部在支队进行统一核算。</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11</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4</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5</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6</w:t>
      </w:r>
      <w:r>
        <w:rPr>
          <w:rFonts w:hint="default" w:ascii="Times New Roman" w:hAnsi="Times New Roman" w:eastAsia="方正仿宋_GBK" w:cs="Times New Roman"/>
          <w:color w:val="auto"/>
          <w:sz w:val="32"/>
          <w:szCs w:val="32"/>
          <w:highlight w:val="none"/>
        </w:rPr>
        <w:t>台（套）；单位价值100万元以上专用设备</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32.24</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32.24</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32.24</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pPr>
      <w:r>
        <w:drawing>
          <wp:inline distT="0" distB="0" distL="114300" distR="114300">
            <wp:extent cx="5753735" cy="5681345"/>
            <wp:effectExtent l="0" t="0" r="18415" b="14605"/>
            <wp:docPr id="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
                    <pic:cNvPicPr>
                      <a:picLocks noChangeAspect="1"/>
                    </pic:cNvPicPr>
                  </pic:nvPicPr>
                  <pic:blipFill>
                    <a:blip r:embed="rId21"/>
                    <a:stretch>
                      <a:fillRect/>
                    </a:stretch>
                  </pic:blipFill>
                  <pic:spPr>
                    <a:xfrm>
                      <a:off x="0" y="0"/>
                      <a:ext cx="5753735" cy="568134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FE4558"/>
    <w:rsid w:val="290C0B98"/>
    <w:rsid w:val="29141705"/>
    <w:rsid w:val="29237516"/>
    <w:rsid w:val="293324A5"/>
    <w:rsid w:val="29470C6F"/>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A195218"/>
    <w:rsid w:val="3A6B0B30"/>
    <w:rsid w:val="3A9E3120"/>
    <w:rsid w:val="3AC62D39"/>
    <w:rsid w:val="3AFD4CD5"/>
    <w:rsid w:val="3B265513"/>
    <w:rsid w:val="3B725DC8"/>
    <w:rsid w:val="3B7D7B3D"/>
    <w:rsid w:val="3B7F2F38"/>
    <w:rsid w:val="3C097044"/>
    <w:rsid w:val="3C5862E5"/>
    <w:rsid w:val="3C87049A"/>
    <w:rsid w:val="3CCF4D65"/>
    <w:rsid w:val="3E57404C"/>
    <w:rsid w:val="3E7A1DBD"/>
    <w:rsid w:val="3FC40C6B"/>
    <w:rsid w:val="40FA4656"/>
    <w:rsid w:val="411F03C0"/>
    <w:rsid w:val="41B761E1"/>
    <w:rsid w:val="42263002"/>
    <w:rsid w:val="42D72088"/>
    <w:rsid w:val="43001F6A"/>
    <w:rsid w:val="430A3435"/>
    <w:rsid w:val="432D5990"/>
    <w:rsid w:val="435A37B0"/>
    <w:rsid w:val="435A53BD"/>
    <w:rsid w:val="44271EF9"/>
    <w:rsid w:val="443F5AC6"/>
    <w:rsid w:val="44E027F3"/>
    <w:rsid w:val="44E55A75"/>
    <w:rsid w:val="46100B63"/>
    <w:rsid w:val="46825774"/>
    <w:rsid w:val="46D33982"/>
    <w:rsid w:val="470E153E"/>
    <w:rsid w:val="47161B18"/>
    <w:rsid w:val="47193DC6"/>
    <w:rsid w:val="477A06C6"/>
    <w:rsid w:val="47C662EE"/>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chart" Target="charts/chart1.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38463;&#21202;&#27888;&#25903;&#38431;\Desktop\2026&#24180;&#20154;&#21592;&#32463;&#36153;&#38750;&#24037;&#36164;&#3903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图</a:t>
            </a:r>
            <a:r>
              <a:rPr lang="en-US" altLang="zh-CN"/>
              <a:t>2</a:t>
            </a:r>
            <a:r>
              <a:t>：</a:t>
            </a:r>
            <a:r>
              <a:rPr lang="en-US" altLang="zh-CN"/>
              <a:t>2024</a:t>
            </a:r>
            <a:r>
              <a:rPr altLang="en-US"/>
              <a:t>年支出结构表</a:t>
            </a:r>
            <a:endParaRPr lang="en-US" altLang="zh-CN"/>
          </a:p>
        </c:rich>
      </c:tx>
      <c:layout/>
      <c:overlay val="0"/>
      <c:spPr>
        <a:noFill/>
        <a:ln>
          <a:noFill/>
        </a:ln>
        <a:effectLst/>
      </c:spPr>
    </c:title>
    <c:autoTitleDeleted val="0"/>
    <c:plotArea>
      <c:layout/>
      <c:barChart>
        <c:barDir val="bar"/>
        <c:grouping val="clustered"/>
        <c:varyColors val="0"/>
        <c:ser>
          <c:idx val="0"/>
          <c:order val="0"/>
          <c:tx>
            <c:strRef>
              <c:f>[2026年人员经费非工资项.xlsx]Sheet1!$K$9</c:f>
              <c:strCache>
                <c:ptCount val="1"/>
                <c:pt idx="0">
                  <c:v>灾害防治及应急管理支出</c:v>
                </c:pt>
              </c:strCache>
            </c:strRef>
          </c:tx>
          <c:spPr>
            <a:solidFill>
              <a:schemeClr val="accent1"/>
            </a:solidFill>
            <a:ln>
              <a:noFill/>
            </a:ln>
            <a:effectLst/>
          </c:spPr>
          <c:invertIfNegative val="0"/>
          <c:dLbls>
            <c:delete val="1"/>
          </c:dLbls>
          <c:val>
            <c:numRef>
              <c:f>[2026年人员经费非工资项.xlsx]Sheet1!$L$9</c:f>
              <c:numCache>
                <c:formatCode>General</c:formatCode>
                <c:ptCount val="1"/>
                <c:pt idx="0">
                  <c:v>166.9</c:v>
                </c:pt>
              </c:numCache>
            </c:numRef>
          </c:val>
        </c:ser>
        <c:dLbls>
          <c:showLegendKey val="0"/>
          <c:showVal val="0"/>
          <c:showCatName val="0"/>
          <c:showSerName val="0"/>
          <c:showPercent val="0"/>
          <c:showBubbleSize val="0"/>
        </c:dLbls>
        <c:gapWidth val="140"/>
        <c:overlap val="-40"/>
        <c:axId val="789107755"/>
        <c:axId val="955371598"/>
      </c:barChart>
      <c:catAx>
        <c:axId val="789107755"/>
        <c:scaling>
          <c:orientation val="minMax"/>
        </c:scaling>
        <c:delete val="0"/>
        <c:axPos val="l"/>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55371598"/>
        <c:crosses val="autoZero"/>
        <c:auto val="1"/>
        <c:lblAlgn val="ctr"/>
        <c:lblOffset val="100"/>
        <c:noMultiLvlLbl val="0"/>
      </c:catAx>
      <c:valAx>
        <c:axId val="955371598"/>
        <c:scaling>
          <c:orientation val="minMax"/>
        </c:scaling>
        <c:delete val="0"/>
        <c:axPos val="b"/>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89107755"/>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11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4640</Words>
  <Characters>4930</Characters>
  <Lines>0</Lines>
  <Paragraphs>0</Paragraphs>
  <TotalTime>0</TotalTime>
  <ScaleCrop>false</ScaleCrop>
  <LinksUpToDate>false</LinksUpToDate>
  <CharactersWithSpaces>4961</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2025-08-22T03:37:01Z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