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jc w:val="center"/>
        <w:rPr>
          <w:rFonts w:hint="eastAsia" w:eastAsia="隶书" w:cs="Times New Roman"/>
          <w:b/>
          <w:sz w:val="68"/>
          <w:szCs w:val="68"/>
          <w:lang w:eastAsia="zh-CN"/>
        </w:rPr>
      </w:pPr>
      <w:r>
        <w:rPr>
          <w:rFonts w:hint="eastAsia" w:eastAsia="隶书" w:cs="Times New Roman"/>
          <w:b/>
          <w:sz w:val="68"/>
          <w:szCs w:val="68"/>
          <w:lang w:eastAsia="zh-CN"/>
        </w:rPr>
        <w:t>青河县消防救援大队</w:t>
      </w:r>
    </w:p>
    <w:p>
      <w:pPr>
        <w:jc w:val="center"/>
        <w:rPr>
          <w:rFonts w:hint="default" w:ascii="Times New Roman" w:hAnsi="Times New Roman" w:eastAsia="隶书" w:cs="Times New Roman"/>
          <w:b/>
          <w:sz w:val="68"/>
          <w:szCs w:val="68"/>
        </w:rPr>
      </w:pPr>
      <w:r>
        <w:rPr>
          <w:rFonts w:hint="eastAsia" w:eastAsia="隶书" w:cs="Times New Roman"/>
          <w:b/>
          <w:sz w:val="68"/>
          <w:szCs w:val="68"/>
          <w:lang w:eastAsia="zh-CN"/>
        </w:rPr>
        <w:t>2024年度</w:t>
      </w:r>
      <w:r>
        <w:rPr>
          <w:rFonts w:hint="default" w:ascii="Times New Roman" w:hAnsi="Times New Roman" w:eastAsia="隶书" w:cs="Times New Roman"/>
          <w:b/>
          <w:sz w:val="68"/>
          <w:szCs w:val="68"/>
        </w:rPr>
        <w:t>部门</w:t>
      </w:r>
      <w:r>
        <w:rPr>
          <w:rFonts w:hint="eastAsia" w:eastAsia="隶书" w:cs="Times New Roman"/>
          <w:b/>
          <w:sz w:val="68"/>
          <w:szCs w:val="68"/>
          <w:lang w:eastAsia="zh-CN"/>
        </w:rPr>
        <w:t>决</w:t>
      </w:r>
      <w:r>
        <w:rPr>
          <w:rFonts w:hint="default" w:ascii="Times New Roman" w:hAnsi="Times New Roman" w:eastAsia="隶书" w:cs="Times New Roman"/>
          <w:b/>
          <w:sz w:val="68"/>
          <w:szCs w:val="68"/>
        </w:rPr>
        <w:t>算</w:t>
      </w:r>
    </w:p>
    <w:p>
      <w:pPr>
        <w:jc w:val="center"/>
        <w:rPr>
          <w:rFonts w:hint="default" w:ascii="Times New Roman" w:hAnsi="Times New Roman" w:eastAsia="隶书" w:cs="Times New Roman"/>
          <w:b/>
          <w:sz w:val="68"/>
          <w:szCs w:val="6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隶书" w:cs="Times New Roman"/>
          <w:b/>
          <w:sz w:val="48"/>
          <w:szCs w:val="48"/>
        </w:rPr>
      </w:pPr>
    </w:p>
    <w:p>
      <w:pPr>
        <w:jc w:val="center"/>
        <w:rPr>
          <w:rFonts w:hint="default" w:ascii="Times New Roman" w:hAnsi="Times New Roman" w:eastAsia="隶书" w:cs="Times New Roman"/>
          <w:b/>
          <w:sz w:val="36"/>
          <w:szCs w:val="36"/>
        </w:rPr>
      </w:pPr>
      <w:r>
        <w:rPr>
          <w:rFonts w:hint="default" w:ascii="Times New Roman" w:hAnsi="Times New Roman" w:eastAsia="隶书" w:cs="Times New Roman"/>
          <w:b/>
          <w:sz w:val="36"/>
          <w:szCs w:val="36"/>
        </w:rPr>
        <w:t>二〇二</w:t>
      </w:r>
      <w:r>
        <w:rPr>
          <w:rFonts w:hint="eastAsia" w:eastAsia="隶书" w:cs="Times New Roman"/>
          <w:b/>
          <w:sz w:val="36"/>
          <w:szCs w:val="36"/>
          <w:lang w:val="en-US" w:eastAsia="zh-CN"/>
        </w:rPr>
        <w:t>五</w:t>
      </w:r>
      <w:r>
        <w:rPr>
          <w:rFonts w:hint="default" w:ascii="Times New Roman" w:hAnsi="Times New Roman" w:eastAsia="隶书" w:cs="Times New Roman"/>
          <w:b/>
          <w:sz w:val="36"/>
          <w:szCs w:val="36"/>
        </w:rPr>
        <w:t>年</w:t>
      </w:r>
      <w:r>
        <w:rPr>
          <w:rFonts w:hint="eastAsia" w:eastAsia="隶书" w:cs="Times New Roman"/>
          <w:b/>
          <w:sz w:val="36"/>
          <w:szCs w:val="36"/>
          <w:lang w:val="en-US" w:eastAsia="zh-CN"/>
        </w:rPr>
        <w:t>八</w:t>
      </w:r>
      <w:r>
        <w:rPr>
          <w:rFonts w:hint="default" w:ascii="Times New Roman" w:hAnsi="Times New Roman" w:eastAsia="隶书" w:cs="Times New Roman"/>
          <w:b/>
          <w:sz w:val="36"/>
          <w:szCs w:val="36"/>
        </w:rPr>
        <w:t>月</w:t>
      </w: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52"/>
          <w:szCs w:val="52"/>
        </w:rPr>
      </w:pPr>
      <w:r>
        <w:rPr>
          <w:rFonts w:hint="default" w:ascii="Times New Roman" w:hAnsi="Times New Roman" w:eastAsia="黑体" w:cs="Times New Roman"/>
          <w:b/>
          <w:sz w:val="52"/>
          <w:szCs w:val="52"/>
        </w:rPr>
        <w:t>目   录</w:t>
      </w:r>
    </w:p>
    <w:p>
      <w:pPr>
        <w:keepNext w:val="0"/>
        <w:keepLines w:val="0"/>
        <w:pageBreakBefore w:val="0"/>
        <w:widowControl w:val="0"/>
        <w:kinsoku/>
        <w:wordWrap/>
        <w:overflowPunct/>
        <w:topLinePunct w:val="0"/>
        <w:autoSpaceDE/>
        <w:autoSpaceDN/>
        <w:bidi w:val="0"/>
        <w:adjustRightInd/>
        <w:snapToGrid/>
        <w:spacing w:line="620" w:lineRule="exact"/>
        <w:jc w:val="center"/>
        <w:textAlignment w:val="auto"/>
        <w:rPr>
          <w:rFonts w:hint="default" w:ascii="Times New Roman" w:hAnsi="Times New Roman" w:eastAsia="黑体" w:cs="Times New Roman"/>
          <w:b/>
          <w:sz w:val="48"/>
          <w:szCs w:val="48"/>
        </w:rPr>
      </w:pP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第一部分  </w:t>
      </w:r>
      <w:r>
        <w:rPr>
          <w:rFonts w:hint="eastAsia" w:eastAsia="黑体" w:cs="Times New Roman"/>
          <w:sz w:val="36"/>
          <w:szCs w:val="36"/>
          <w:lang w:eastAsia="zh-CN"/>
        </w:rPr>
        <w:t>青河县消防救援大队</w:t>
      </w:r>
      <w:r>
        <w:rPr>
          <w:rFonts w:hint="default" w:ascii="Times New Roman" w:hAnsi="Times New Roman" w:eastAsia="黑体" w:cs="Times New Roman"/>
          <w:sz w:val="36"/>
          <w:szCs w:val="36"/>
        </w:rPr>
        <w:t>概况</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一、主要职</w:t>
      </w:r>
      <w:r>
        <w:rPr>
          <w:rFonts w:hint="default" w:ascii="Times New Roman" w:hAnsi="Times New Roman" w:eastAsia="方正仿宋_GBK" w:cs="Times New Roman"/>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二、部门</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第二部分  </w:t>
      </w:r>
      <w:r>
        <w:rPr>
          <w:rFonts w:hint="eastAsia" w:eastAsia="黑体" w:cs="Times New Roman"/>
          <w:sz w:val="36"/>
          <w:szCs w:val="36"/>
          <w:lang w:eastAsia="zh-CN"/>
        </w:rPr>
        <w:t>青河县消防救援大队2024年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二、收入决算表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四、财政拨款收入支出决算总表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五、一般公共预算财政拨款支出决算表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六、一般公共预算财政拨款基本支出决算明细表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七、政府性基金预算财政拨款收入支出决算表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八、国有资本经营预算财政拨款支出决算表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九、一般公共预算财政拨款“三公”经费支出决算表</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第三部分  </w:t>
      </w:r>
      <w:r>
        <w:rPr>
          <w:rFonts w:hint="eastAsia" w:eastAsia="黑体" w:cs="Times New Roman"/>
          <w:sz w:val="36"/>
          <w:szCs w:val="36"/>
          <w:lang w:eastAsia="zh-CN"/>
        </w:rPr>
        <w:t>青河县消防救援大队2024年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算情况说明</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第四部分  名词解释</w:t>
      </w:r>
    </w:p>
    <w:p>
      <w:pPr>
        <w:ind w:firstLine="720" w:firstLineChars="200"/>
        <w:rPr>
          <w:rFonts w:hint="default" w:ascii="Times New Roman" w:hAnsi="Times New Roman" w:eastAsia="黑体" w:cs="Times New Roman"/>
          <w:sz w:val="36"/>
          <w:szCs w:val="36"/>
          <w:lang w:eastAsia="zh-CN"/>
        </w:rPr>
      </w:pPr>
    </w:p>
    <w:p>
      <w:pPr>
        <w:pStyle w:val="2"/>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黑体_GBK" w:cs="Times New Roman"/>
          <w:b/>
          <w:sz w:val="32"/>
          <w:szCs w:val="32"/>
          <w:lang w:eastAsia="zh-CN"/>
        </w:rPr>
      </w:pP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mc:AlternateContent>
          <mc:Choice Requires="wpg">
            <w:drawing>
              <wp:anchor distT="0" distB="0" distL="114300" distR="114300" simplePos="0" relativeHeight="251661312" behindDoc="1" locked="0" layoutInCell="1" allowOverlap="1">
                <wp:simplePos x="0" y="0"/>
                <wp:positionH relativeFrom="column">
                  <wp:posOffset>1143000</wp:posOffset>
                </wp:positionH>
                <wp:positionV relativeFrom="paragraph">
                  <wp:posOffset>-891540</wp:posOffset>
                </wp:positionV>
                <wp:extent cx="267970" cy="10797540"/>
                <wp:effectExtent l="6350" t="0" r="0" b="3810"/>
                <wp:wrapNone/>
                <wp:docPr id="5" name="组合 1092"/>
                <wp:cNvGraphicFramePr/>
                <a:graphic xmlns:a="http://schemas.openxmlformats.org/drawingml/2006/main">
                  <a:graphicData uri="http://schemas.microsoft.com/office/word/2010/wordprocessingGroup">
                    <wpg:wgp>
                      <wpg:cNvGrpSpPr/>
                      <wpg:grpSpPr>
                        <a:xfrm>
                          <a:off x="0" y="0"/>
                          <a:ext cx="267970" cy="10797540"/>
                          <a:chOff x="0" y="0"/>
                          <a:chExt cx="422" cy="16848"/>
                        </a:xfrm>
                        <a:effectLst/>
                      </wpg:grpSpPr>
                      <wps:wsp>
                        <wps:cNvPr id="1" name="直接连接符 1"/>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2" name="直接连接符 2"/>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3" name="直接连接符 3"/>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4" name="直接连接符 4"/>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92" o:spid="_x0000_s1026" o:spt="203" style="position:absolute;left:0pt;margin-left:90pt;margin-top:-70.2pt;height:850.2pt;width:21.1pt;z-index:-251655168;mso-width-relative:page;mso-height-relative:page;" coordsize="422,16848" o:gfxdata="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BHpz57aAAAADQEAAA8AAAAAAAAA&#10;AQAgAAAAIgAAAGRycy9kb3ducmV2LnhtbFBLAQIUABQAAAAIAIdO4kDwRUQkugIAAGwLAAAOAAAA&#10;AAAAAAEAIAAAACkBAABkcnMvZTJvRG9jLnhtbFBLBQYAAAAABgAGAFkBAABVBgAAAAA=&#10;">
                <o:lock v:ext="edit" aspectratio="f"/>
                <v:line id="_x0000_s1026" o:spid="_x0000_s1026" o:spt="20" style="position:absolute;left:156;top:0;height:16848;width:2;" filled="f" stroked="t" coordsize="21600,21600" o:gfxdata="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Nh2oi8AAAA&#10;2g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g7NE/78AAADa&#10;AAAADwAAAGRycy9kb3ducmV2LnhtbEWPQWvCQBSE70L/w/IKvekmOViJrlKKhkILYhT1+Mg+k2D2&#10;bZrdmrS/3i0Uehxm5htmsRpMI27UudqygngSgSAurK65VHDYb8YzEM4ja2wsk4JvcrBaPowWmGrb&#10;845uuS9FgLBLUUHlfZtK6YqKDLqJbYmDd7GdQR9kV0rdYR/gppFJFE2lwZrDQoUtvVZUXPMvo2D2&#10;/vK5Pn7k0x+ZXbbPp9het9lZqafHOJqD8DT4//Bf+00rSOD3SrgBcn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zRP+/&#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7P/hZL8AAADa&#10;AAAADwAAAGRycy9kb3ducmV2LnhtbEWP3WrCQBSE7wt9h+UUetds0oJ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z/4WS/&#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YxZ5EL8AAADa&#10;AAAADwAAAGRycy9kb3ducmV2LnhtbEWP3WrCQBSE7wt9h+UUetdsUop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MWeRC/&#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2336" behindDoc="1" locked="0" layoutInCell="1" allowOverlap="1">
                <wp:simplePos x="0" y="0"/>
                <wp:positionH relativeFrom="column">
                  <wp:posOffset>-1135380</wp:posOffset>
                </wp:positionH>
                <wp:positionV relativeFrom="paragraph">
                  <wp:posOffset>3136900</wp:posOffset>
                </wp:positionV>
                <wp:extent cx="7461885" cy="2278380"/>
                <wp:effectExtent l="5080" t="4445" r="19685" b="22225"/>
                <wp:wrapNone/>
                <wp:docPr id="30" name="文本框 30"/>
                <wp:cNvGraphicFramePr/>
                <a:graphic xmlns:a="http://schemas.openxmlformats.org/drawingml/2006/main">
                  <a:graphicData uri="http://schemas.microsoft.com/office/word/2010/wordprocessingShape">
                    <wps:wsp>
                      <wps:cNvSpPr txBox="1"/>
                      <wps:spPr>
                        <a:xfrm>
                          <a:off x="0" y="0"/>
                          <a:ext cx="7461885"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青河县消防救援大队</w:t>
                            </w:r>
                            <w:r>
                              <w:rPr>
                                <w:rFonts w:hint="eastAsia" w:ascii="黑体" w:hAnsi="黑体" w:eastAsia="黑体"/>
                                <w:b/>
                                <w:color w:val="FFFFFF"/>
                                <w:sz w:val="52"/>
                                <w:szCs w:val="52"/>
                              </w:rPr>
                              <w:t>概况</w:t>
                            </w:r>
                          </w:p>
                        </w:txbxContent>
                      </wps:txbx>
                      <wps:bodyPr upright="1"/>
                    </wps:wsp>
                  </a:graphicData>
                </a:graphic>
              </wp:anchor>
            </w:drawing>
          </mc:Choice>
          <mc:Fallback>
            <w:pict>
              <v:shape id="_x0000_s1026" o:spid="_x0000_s1026" o:spt="202" type="#_x0000_t202" style="position:absolute;left:0pt;margin-left:-89.4pt;margin-top:247pt;height:179.4pt;width:587.55pt;z-index:-251654144;mso-width-relative:page;mso-height-relative:page;" fillcolor="#CC99FF" filled="t" stroked="t" coordsize="21600,21600" o:gfxdata="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afG7HaAAAADAEA&#10;AA8AAAAAAAAAAQAgAAAAIgAAAGRycy9kb3ducmV2LnhtbFBLAQIUABQAAAAIAIdO4kA2o84hGAIA&#10;AEcEAAAOAAAAAAAAAAEAIAAAACkBAABkcnMvZTJvRG9jLnhtbFBLBQYAAAAABgAGAFkBAACzBQAA&#10;AAA=&#10;">
                <v:fill on="t" focussize="0,0"/>
                <v:stroke color="#000000" joinstyle="miter"/>
                <v:imagedata o:title=""/>
                <o:lock v:ext="edit" aspectratio="f"/>
                <v:textbo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青河县消防救援大队</w:t>
                      </w:r>
                      <w:r>
                        <w:rPr>
                          <w:rFonts w:hint="eastAsia" w:ascii="黑体" w:hAnsi="黑体" w:eastAsia="黑体"/>
                          <w:b/>
                          <w:color w:val="FFFFFF"/>
                          <w:sz w:val="52"/>
                          <w:szCs w:val="52"/>
                        </w:rPr>
                        <w:t>概况</w:t>
                      </w:r>
                    </w:p>
                  </w:txbxContent>
                </v:textbox>
              </v:shape>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0288" behindDoc="1" locked="0" layoutInCell="1" allowOverlap="1">
                <wp:simplePos x="0" y="0"/>
                <wp:positionH relativeFrom="column">
                  <wp:posOffset>3154680</wp:posOffset>
                </wp:positionH>
                <wp:positionV relativeFrom="paragraph">
                  <wp:posOffset>-1038860</wp:posOffset>
                </wp:positionV>
                <wp:extent cx="3171190" cy="10845165"/>
                <wp:effectExtent l="5080" t="5080" r="5080" b="8255"/>
                <wp:wrapNone/>
                <wp:docPr id="29" name="矩形 29"/>
                <wp:cNvGraphicFramePr/>
                <a:graphic xmlns:a="http://schemas.openxmlformats.org/drawingml/2006/main">
                  <a:graphicData uri="http://schemas.microsoft.com/office/word/2010/wordprocessingShape">
                    <wps:wsp>
                      <wps:cNvSpPr/>
                      <wps:spPr>
                        <a:xfrm>
                          <a:off x="0" y="0"/>
                          <a:ext cx="3171190" cy="10845165"/>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48.4pt;margin-top:-81.8pt;height:853.95pt;width:249.7pt;z-index:-251656192;mso-width-relative:page;mso-height-relative:page;" fillcolor="#CCFFCC" filled="t" stroked="t" coordsize="21600,21600" o:gfxdata="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e6LEneAAAADQEAAA8AAAAAAAAAAQAgAAAA&#10;IgAAAGRycy9kb3ducmV2LnhtbFBLAQIUABQAAAAIAIdO4kCOj3TWBQIAADAEAAAOAAAAAAAAAAEA&#10;IAAAAC0BAABkcnMvZTJvRG9jLnhtbFBLBQYAAAAABgAGAFkBAACkBQAAAAA=&#10;">
                <v:fill on="t" focussize="0,0"/>
                <v:stroke color="#000000" joinstyle="miter"/>
                <v:imagedata o:title=""/>
                <o:lock v:ext="edit" aspectratio="f"/>
              </v:rect>
            </w:pict>
          </mc:Fallback>
        </mc:AlternateContent>
      </w: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w:t xml:space="preserve">  </w:t>
      </w:r>
      <w:r>
        <w:rPr>
          <w:rFonts w:hint="default" w:ascii="Times New Roman" w:hAnsi="Times New Roman" w:eastAsia="方正黑体_GBK" w:cs="Times New Roman"/>
          <w:b w:val="0"/>
          <w:bCs w:val="0"/>
          <w:sz w:val="32"/>
          <w:szCs w:val="32"/>
        </w:rPr>
        <w:t xml:space="preserve">  一、主要职</w:t>
      </w:r>
      <w:r>
        <w:rPr>
          <w:rFonts w:hint="default" w:ascii="Times New Roman" w:hAnsi="Times New Roman" w:eastAsia="方正黑体_GBK" w:cs="Times New Roman"/>
          <w:b w:val="0"/>
          <w:bCs w:val="0"/>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国家综合性消防救援队伍</w:t>
      </w:r>
      <w:r>
        <w:rPr>
          <w:rFonts w:hint="default" w:ascii="Times New Roman" w:hAnsi="Times New Roman" w:eastAsia="方正仿宋_GBK" w:cs="Times New Roman"/>
          <w:sz w:val="32"/>
          <w:szCs w:val="32"/>
        </w:rPr>
        <w:t>承担防范化解重大安全风险</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应对处置各类灾害事故的</w:t>
      </w:r>
      <w:r>
        <w:rPr>
          <w:rFonts w:hint="default" w:ascii="Times New Roman" w:hAnsi="Times New Roman" w:eastAsia="方正仿宋_GBK" w:cs="Times New Roman"/>
          <w:sz w:val="32"/>
          <w:szCs w:val="32"/>
          <w:lang w:eastAsia="zh-CN"/>
        </w:rPr>
        <w:t>重要</w:t>
      </w:r>
      <w:r>
        <w:rPr>
          <w:rFonts w:hint="default" w:ascii="Times New Roman" w:hAnsi="Times New Roman" w:eastAsia="方正仿宋_GBK" w:cs="Times New Roman"/>
          <w:sz w:val="32"/>
          <w:szCs w:val="32"/>
        </w:rPr>
        <w:t>职责，</w:t>
      </w:r>
      <w:r>
        <w:rPr>
          <w:rFonts w:hint="default" w:ascii="Times New Roman" w:hAnsi="Times New Roman" w:eastAsia="方正仿宋_GBK" w:cs="Times New Roman"/>
          <w:sz w:val="32"/>
          <w:szCs w:val="32"/>
          <w:lang w:eastAsia="zh-CN"/>
        </w:rPr>
        <w:t>是</w:t>
      </w:r>
      <w:r>
        <w:rPr>
          <w:rFonts w:hint="default" w:ascii="Times New Roman" w:hAnsi="Times New Roman" w:eastAsia="方正仿宋_GBK" w:cs="Times New Roman"/>
          <w:sz w:val="32"/>
          <w:szCs w:val="32"/>
        </w:rPr>
        <w:t>应急救援</w:t>
      </w:r>
      <w:r>
        <w:rPr>
          <w:rFonts w:hint="default" w:ascii="Times New Roman" w:hAnsi="Times New Roman" w:eastAsia="方正仿宋_GBK" w:cs="Times New Roman"/>
          <w:sz w:val="32"/>
          <w:szCs w:val="32"/>
          <w:lang w:eastAsia="zh-CN"/>
        </w:rPr>
        <w:t>的</w:t>
      </w:r>
      <w:r>
        <w:rPr>
          <w:rFonts w:hint="default" w:ascii="Times New Roman" w:hAnsi="Times New Roman" w:eastAsia="方正仿宋_GBK" w:cs="Times New Roman"/>
          <w:sz w:val="32"/>
          <w:szCs w:val="32"/>
        </w:rPr>
        <w:t>主力军和国家队。</w:t>
      </w:r>
      <w:r>
        <w:rPr>
          <w:rFonts w:hint="eastAsia" w:eastAsia="方正仿宋_GBK" w:cs="Times New Roman"/>
          <w:sz w:val="32"/>
          <w:szCs w:val="32"/>
          <w:lang w:eastAsia="zh-CN"/>
        </w:rPr>
        <w:t>青河县消防救援大队</w:t>
      </w:r>
      <w:r>
        <w:rPr>
          <w:rFonts w:hint="default" w:ascii="Times New Roman" w:hAnsi="Times New Roman" w:eastAsia="方正仿宋_GBK" w:cs="Times New Roman"/>
          <w:sz w:val="32"/>
          <w:szCs w:val="32"/>
        </w:rPr>
        <w:t>隶属</w:t>
      </w:r>
      <w:r>
        <w:rPr>
          <w:rFonts w:hint="eastAsia" w:eastAsia="方正仿宋_GBK" w:cs="Times New Roman"/>
          <w:sz w:val="32"/>
          <w:szCs w:val="32"/>
          <w:lang w:eastAsia="zh-CN"/>
        </w:rPr>
        <w:t>阿勒泰地区消防救援支队</w:t>
      </w:r>
      <w:r>
        <w:rPr>
          <w:rFonts w:hint="default" w:ascii="Times New Roman" w:hAnsi="Times New Roman" w:eastAsia="方正仿宋_GBK" w:cs="Times New Roman"/>
          <w:sz w:val="32"/>
          <w:szCs w:val="32"/>
        </w:rPr>
        <w:t>，是</w:t>
      </w:r>
      <w:r>
        <w:rPr>
          <w:rFonts w:hint="eastAsia" w:eastAsia="方正仿宋_GBK" w:cs="Times New Roman"/>
          <w:sz w:val="32"/>
          <w:szCs w:val="32"/>
          <w:lang w:eastAsia="zh-CN"/>
        </w:rPr>
        <w:t>阿勒泰</w:t>
      </w:r>
      <w:r>
        <w:rPr>
          <w:rFonts w:hint="default" w:ascii="Times New Roman" w:hAnsi="Times New Roman" w:eastAsia="方正仿宋_GBK" w:cs="Times New Roman"/>
          <w:sz w:val="32"/>
          <w:szCs w:val="32"/>
          <w:lang w:eastAsia="zh-CN"/>
        </w:rPr>
        <w:t>各级</w:t>
      </w:r>
      <w:r>
        <w:rPr>
          <w:rFonts w:hint="default" w:ascii="Times New Roman" w:hAnsi="Times New Roman" w:eastAsia="方正仿宋_GBK" w:cs="Times New Roman"/>
          <w:sz w:val="32"/>
          <w:szCs w:val="32"/>
        </w:rPr>
        <w:t>消防救援队伍的领导指挥机关，依据有关法律法规履行下列职责：</w:t>
      </w:r>
      <w:r>
        <w:rPr>
          <w:rFonts w:hint="eastAsia" w:ascii="Times New Roman" w:hAnsi="Times New Roman" w:eastAsia="方正仿宋_GBK" w:cs="Times New Roman"/>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（一）承担城乡综合性消防救援工作，负责指挥调度相关灾害事故救援行动，承担重要会议、大型活动消防安全保卫工作。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（二）承担火灾预防、消防监督执法以及火灾事故调查处理相关工作，依法行使消防安全综合监管职能，推动落实消防安全责任制。</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（三）</w:t>
      </w:r>
      <w:r>
        <w:rPr>
          <w:rFonts w:hint="eastAsia" w:eastAsia="方正仿宋_GBK" w:cs="Times New Roman"/>
          <w:sz w:val="32"/>
          <w:szCs w:val="32"/>
          <w:lang w:val="en-US" w:eastAsia="zh-CN"/>
        </w:rPr>
        <w:t>执行</w:t>
      </w:r>
      <w:r>
        <w:rPr>
          <w:rFonts w:hint="default" w:ascii="Times New Roman" w:hAnsi="Times New Roman" w:eastAsia="方正仿宋_GBK" w:cs="Times New Roman"/>
          <w:sz w:val="32"/>
          <w:szCs w:val="32"/>
          <w:lang w:val="en-US" w:eastAsia="zh-CN"/>
        </w:rPr>
        <w:t>地方性消防法规、规章并监督实施。</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（四）负责消防救援队伍综合性消防救援预案编制、战术研究和执勤备战、训练演练等工作。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（五）负责消防救援信息化和应急通信建设，承担综合性消防救援行动应急通信保障工作。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（六）负责消防安全宣传教育，组织指导社会消防力量建设。</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（七）负责消防应急救援专业队伍规划、建设与调度指挥，参与组织协调动员各类社会救援力量参加救援任务。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（八）负责消防救援队伍建设与管理。</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（九）完成应急管理部和所在</w:t>
      </w:r>
      <w:r>
        <w:rPr>
          <w:rFonts w:hint="eastAsia" w:eastAsia="方正仿宋_GBK" w:cs="Times New Roman"/>
          <w:sz w:val="32"/>
          <w:szCs w:val="32"/>
          <w:lang w:val="en-US" w:eastAsia="zh-CN"/>
        </w:rPr>
        <w:t>地</w:t>
      </w:r>
      <w:r>
        <w:rPr>
          <w:rFonts w:hint="default" w:ascii="Times New Roman" w:hAnsi="Times New Roman" w:eastAsia="方正仿宋_GBK" w:cs="Times New Roman"/>
          <w:sz w:val="32"/>
          <w:szCs w:val="32"/>
          <w:lang w:val="en-US" w:eastAsia="zh-CN"/>
        </w:rPr>
        <w:t>区（市、</w:t>
      </w:r>
      <w:r>
        <w:rPr>
          <w:rFonts w:hint="eastAsia" w:eastAsia="方正仿宋_GBK" w:cs="Times New Roman"/>
          <w:sz w:val="32"/>
          <w:szCs w:val="32"/>
          <w:lang w:val="en-US" w:eastAsia="zh-CN"/>
        </w:rPr>
        <w:t>县、景区</w:t>
      </w:r>
      <w:r>
        <w:rPr>
          <w:rFonts w:hint="default" w:ascii="Times New Roman" w:hAnsi="Times New Roman" w:eastAsia="方正仿宋_GBK" w:cs="Times New Roman"/>
          <w:sz w:val="32"/>
          <w:szCs w:val="32"/>
          <w:lang w:val="en-US" w:eastAsia="zh-CN"/>
        </w:rPr>
        <w:t>），党委政府交办的相关任务。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default" w:ascii="Times New Roman" w:hAnsi="Times New Roman" w:eastAsia="方正黑体_GBK" w:cs="Times New Roman"/>
          <w:b w:val="0"/>
          <w:bCs w:val="0"/>
          <w:sz w:val="32"/>
          <w:szCs w:val="32"/>
        </w:rPr>
        <w:t>二、部门</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单位构成</w:t>
      </w:r>
    </w:p>
    <w:p>
      <w:pPr>
        <w:keepNext w:val="0"/>
        <w:keepLines w:val="0"/>
        <w:pageBreakBefore w:val="0"/>
        <w:widowControl w:val="0"/>
        <w:kinsoku/>
        <w:wordWrap/>
        <w:overflowPunct/>
        <w:topLinePunct w:val="0"/>
        <w:autoSpaceDE/>
        <w:autoSpaceDN/>
        <w:bidi w:val="0"/>
        <w:adjustRightInd/>
        <w:snapToGrid/>
        <w:spacing w:line="560" w:lineRule="atLeast"/>
        <w:ind w:firstLine="640" w:firstLineChars="200"/>
        <w:textAlignment w:val="auto"/>
        <w:rPr>
          <w:rFonts w:hint="default" w:ascii="Times New Roman" w:hAnsi="Times New Roman" w:eastAsia="仿宋_GB2312" w:cs="Times New Roman"/>
          <w:color w:val="auto"/>
          <w:sz w:val="32"/>
          <w:szCs w:val="32"/>
        </w:rPr>
      </w:pPr>
      <w:r>
        <w:rPr>
          <w:rFonts w:hint="default" w:ascii="Times New Roman" w:hAnsi="Times New Roman" w:eastAsia="方正仿宋_GBK" w:cs="Times New Roman"/>
          <w:sz w:val="32"/>
          <w:szCs w:val="32"/>
        </w:rPr>
        <w:t>从</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算单位构成看，</w:t>
      </w:r>
      <w:r>
        <w:rPr>
          <w:rFonts w:hint="eastAsia" w:eastAsia="方正仿宋_GBK" w:cs="Times New Roman"/>
          <w:sz w:val="32"/>
          <w:szCs w:val="32"/>
          <w:lang w:eastAsia="zh-CN"/>
        </w:rPr>
        <w:t>青河县消防救援大队</w:t>
      </w:r>
      <w:r>
        <w:rPr>
          <w:rFonts w:hint="eastAsia" w:ascii="Times New Roman" w:hAnsi="Times New Roman" w:eastAsia="方正仿宋_GBK" w:cs="Times New Roman"/>
          <w:sz w:val="32"/>
          <w:szCs w:val="32"/>
          <w:lang w:eastAsia="zh-CN"/>
        </w:rPr>
        <w:t>决算</w:t>
      </w:r>
      <w:r>
        <w:rPr>
          <w:rFonts w:hint="default" w:ascii="Times New Roman" w:hAnsi="Times New Roman" w:eastAsia="方正仿宋_GBK" w:cs="Times New Roman"/>
          <w:sz w:val="32"/>
          <w:szCs w:val="32"/>
        </w:rPr>
        <w:t>单位包括：</w:t>
      </w:r>
      <w:r>
        <w:rPr>
          <w:rFonts w:hint="eastAsia" w:eastAsia="方正仿宋_GBK" w:cs="Times New Roman"/>
          <w:sz w:val="32"/>
          <w:szCs w:val="32"/>
          <w:lang w:eastAsia="zh-CN"/>
        </w:rPr>
        <w:t>青河县消防救援大队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eastAsia" w:eastAsia="方正仿宋_GBK" w:cs="Times New Roman"/>
          <w:color w:val="000000" w:themeColor="text1"/>
          <w:sz w:val="32"/>
          <w:szCs w:val="32"/>
          <w:lang w:eastAsia="zh-CN"/>
          <w14:textFill>
            <w14:solidFill>
              <w14:schemeClr w14:val="tx1"/>
            </w14:solidFill>
          </w14:textFill>
        </w:rPr>
        <w:t>青河县消防救援大队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为中央财政</w:t>
      </w:r>
      <w:r>
        <w:rPr>
          <w:rFonts w:hint="eastAsia" w:eastAsia="方正仿宋_GBK" w:cs="Times New Roman"/>
          <w:color w:val="000000" w:themeColor="text1"/>
          <w:sz w:val="32"/>
          <w:szCs w:val="32"/>
          <w:lang w:val="en-US" w:eastAsia="zh-CN"/>
          <w14:textFill>
            <w14:solidFill>
              <w14:schemeClr w14:val="tx1"/>
            </w14:solidFill>
          </w14:textFill>
        </w:rPr>
        <w:t>四</w:t>
      </w:r>
      <w:r>
        <w:rPr>
          <w:rFonts w:hint="default" w:ascii="Times New Roman" w:hAnsi="Times New Roman" w:eastAsia="方正仿宋_GBK" w:cs="Times New Roman"/>
          <w:sz w:val="32"/>
          <w:szCs w:val="32"/>
        </w:rPr>
        <w:t>级预算单位，</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年下辖预算单位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个（含汇总单位），其中：四级预算单位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个。纳入消防救援局</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年部门预算编制范围的</w:t>
      </w:r>
      <w:r>
        <w:rPr>
          <w:rFonts w:hint="eastAsia" w:eastAsia="方正仿宋_GBK" w:cs="Times New Roman"/>
          <w:color w:val="auto"/>
          <w:sz w:val="32"/>
          <w:szCs w:val="32"/>
          <w:lang w:eastAsia="zh-CN"/>
        </w:rPr>
        <w:t>四</w:t>
      </w:r>
      <w:r>
        <w:rPr>
          <w:rFonts w:hint="default" w:ascii="Times New Roman" w:hAnsi="Times New Roman" w:eastAsia="方正仿宋_GBK" w:cs="Times New Roman"/>
          <w:color w:val="auto"/>
          <w:sz w:val="32"/>
          <w:szCs w:val="32"/>
        </w:rPr>
        <w:t>级预算单位如下表：</w:t>
      </w:r>
    </w:p>
    <w:tbl>
      <w:tblPr>
        <w:tblStyle w:val="6"/>
        <w:tblW w:w="9017" w:type="dxa"/>
        <w:tblInd w:w="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7"/>
        <w:gridCol w:w="6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17"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rPr>
              <w:t>序号</w:t>
            </w:r>
          </w:p>
        </w:tc>
        <w:tc>
          <w:tcPr>
            <w:tcW w:w="6300"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lang w:eastAsia="zh-CN"/>
              </w:rPr>
              <w:t>三</w:t>
            </w:r>
            <w:r>
              <w:rPr>
                <w:rFonts w:hint="default" w:ascii="Times New Roman" w:hAnsi="Times New Roman" w:eastAsia="黑体" w:cs="Times New Roman"/>
                <w:b/>
                <w:bCs/>
                <w:kern w:val="0"/>
                <w:sz w:val="24"/>
              </w:rPr>
              <w:t>级预算单位名称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717" w:type="dxa"/>
            <w:noWrap/>
            <w:vAlign w:val="center"/>
          </w:tcPr>
          <w:p>
            <w:pPr>
              <w:widowControl/>
              <w:snapToGrid w:val="0"/>
              <w:spacing w:line="240" w:lineRule="atLeast"/>
              <w:jc w:val="center"/>
              <w:textAlignment w:val="center"/>
              <w:rPr>
                <w:rFonts w:hint="eastAsia" w:ascii="Times New Roman" w:hAnsi="Times New Roman" w:eastAsia="宋体" w:cs="Times New Roman"/>
                <w:kern w:val="0"/>
                <w:sz w:val="20"/>
                <w:szCs w:val="20"/>
                <w:lang w:val="en-US" w:eastAsia="zh-CN"/>
              </w:rPr>
            </w:pPr>
            <w:r>
              <w:rPr>
                <w:rFonts w:hint="eastAsia" w:cs="Times New Roman"/>
                <w:kern w:val="0"/>
                <w:sz w:val="20"/>
                <w:szCs w:val="20"/>
                <w:lang w:val="en-US" w:eastAsia="zh-CN"/>
              </w:rPr>
              <w:t>1</w:t>
            </w:r>
          </w:p>
        </w:tc>
        <w:tc>
          <w:tcPr>
            <w:tcW w:w="6300" w:type="dxa"/>
            <w:noWrap/>
            <w:vAlign w:val="center"/>
          </w:tcPr>
          <w:p>
            <w:pPr>
              <w:widowControl/>
              <w:snapToGrid w:val="0"/>
              <w:spacing w:line="240" w:lineRule="atLeast"/>
              <w:jc w:val="center"/>
              <w:textAlignment w:val="center"/>
              <w:rPr>
                <w:rFonts w:hint="default" w:ascii="Times New Roman" w:hAnsi="Times New Roman" w:eastAsia="方正仿宋_GBK" w:cs="Times New Roman"/>
                <w:color w:val="000000"/>
                <w:kern w:val="0"/>
                <w:sz w:val="20"/>
                <w:szCs w:val="20"/>
                <w:lang w:eastAsia="zh-CN"/>
              </w:rPr>
            </w:pPr>
            <w:r>
              <w:rPr>
                <w:rFonts w:hint="default" w:ascii="Times New Roman" w:hAnsi="Times New Roman" w:eastAsia="方正仿宋_GBK" w:cs="Times New Roman"/>
                <w:color w:val="000000"/>
                <w:kern w:val="0"/>
                <w:sz w:val="20"/>
                <w:szCs w:val="20"/>
                <w:lang w:val="en-US" w:eastAsia="zh-CN"/>
              </w:rPr>
              <w:t>青河县消防救援大队</w:t>
            </w:r>
          </w:p>
        </w:tc>
      </w:tr>
    </w:tbl>
    <w:p>
      <w:pPr>
        <w:spacing w:line="200" w:lineRule="exact"/>
        <w:jc w:val="center"/>
        <w:rPr>
          <w:rFonts w:hint="default" w:ascii="Times New Roman" w:hAnsi="Times New Roman" w:eastAsia="黑体" w:cs="Times New Roman"/>
          <w:b/>
          <w:sz w:val="18"/>
          <w:szCs w:val="18"/>
        </w:rPr>
      </w:pPr>
    </w:p>
    <w:p>
      <w:pPr>
        <w:pStyle w:val="2"/>
        <w:rPr>
          <w:rFonts w:hint="default"/>
        </w:rPr>
        <w:sectPr>
          <w:footerReference r:id="rId3" w:type="default"/>
          <w:footerReference r:id="rId4" w:type="even"/>
          <w:pgSz w:w="11906" w:h="16838"/>
          <w:pgMar w:top="1418" w:right="1418" w:bottom="1418" w:left="1418" w:header="851" w:footer="992" w:gutter="0"/>
          <w:cols w:space="720" w:num="1"/>
          <w:docGrid w:type="lines" w:linePitch="312" w:charSpace="0"/>
        </w:sectPr>
      </w:pPr>
    </w:p>
    <w:p>
      <w:pPr>
        <w:jc w:val="center"/>
        <w:rPr>
          <w:rFonts w:hint="default" w:ascii="Times New Roman" w:hAnsi="Times New Roman" w:eastAsia="黑体" w:cs="Times New Roman"/>
          <w:b/>
          <w:sz w:val="36"/>
          <w:szCs w:val="36"/>
        </w:rPr>
      </w:pPr>
      <w:r>
        <w:rPr>
          <w:rFonts w:hint="default" w:ascii="Times New Roman" w:hAnsi="Times New Roman" w:eastAsia="黑体" w:cs="Times New Roman"/>
          <w:b/>
          <w:sz w:val="36"/>
          <w:szCs w:val="36"/>
        </w:rPr>
        <mc:AlternateContent>
          <mc:Choice Requires="wpg">
            <w:drawing>
              <wp:anchor distT="0" distB="0" distL="114300" distR="114300" simplePos="0" relativeHeight="251659264" behindDoc="1" locked="0" layoutInCell="1" allowOverlap="1">
                <wp:simplePos x="0" y="0"/>
                <wp:positionH relativeFrom="column">
                  <wp:posOffset>-895350</wp:posOffset>
                </wp:positionH>
                <wp:positionV relativeFrom="paragraph">
                  <wp:posOffset>-913765</wp:posOffset>
                </wp:positionV>
                <wp:extent cx="8343900" cy="11094720"/>
                <wp:effectExtent l="0" t="5080" r="0" b="0"/>
                <wp:wrapNone/>
                <wp:docPr id="15" name="组合 1080"/>
                <wp:cNvGraphicFramePr/>
                <a:graphic xmlns:a="http://schemas.openxmlformats.org/drawingml/2006/main">
                  <a:graphicData uri="http://schemas.microsoft.com/office/word/2010/wordprocessingGroup">
                    <wpg:wgp>
                      <wpg:cNvGrpSpPr/>
                      <wpg:grpSpPr>
                        <a:xfrm>
                          <a:off x="0" y="0"/>
                          <a:ext cx="8343900" cy="11094720"/>
                          <a:chOff x="0" y="0"/>
                          <a:chExt cx="13140" cy="17472"/>
                        </a:xfrm>
                        <a:effectLst/>
                      </wpg:grpSpPr>
                      <wps:wsp>
                        <wps:cNvPr id="6" name="矩形 6"/>
                        <wps:cNvSpPr>
                          <a:spLocks noChangeAspect="1" noTextEdit="1"/>
                        </wps:cNvSpPr>
                        <wps:spPr>
                          <a:xfrm>
                            <a:off x="0" y="0"/>
                            <a:ext cx="13140" cy="17472"/>
                          </a:xfrm>
                          <a:prstGeom prst="rect">
                            <a:avLst/>
                          </a:prstGeom>
                          <a:noFill/>
                          <a:ln>
                            <a:noFill/>
                          </a:ln>
                          <a:effectLst/>
                        </wps:spPr>
                        <wps:bodyPr upright="1"/>
                      </wps:wsp>
                      <wpg:grpSp>
                        <wpg:cNvPr id="14" name="组合 14"/>
                        <wpg:cNvGrpSpPr/>
                        <wpg:grpSpPr>
                          <a:xfrm>
                            <a:off x="540" y="0"/>
                            <a:ext cx="11830" cy="16969"/>
                            <a:chOff x="0" y="0"/>
                            <a:chExt cx="11830" cy="16969"/>
                          </a:xfrm>
                          <a:effectLst/>
                        </wpg:grpSpPr>
                        <wps:wsp>
                          <wps:cNvPr id="7" name="矩形 7"/>
                          <wps:cNvSpPr/>
                          <wps:spPr>
                            <a:xfrm>
                              <a:off x="6836" y="0"/>
                              <a:ext cx="4994" cy="16969"/>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wpg:grpSp>
                          <wpg:cNvPr id="12" name="组合 12"/>
                          <wpg:cNvGrpSpPr/>
                          <wpg:grpSpPr>
                            <a:xfrm>
                              <a:off x="3600" y="0"/>
                              <a:ext cx="422" cy="16848"/>
                              <a:chOff x="0" y="0"/>
                              <a:chExt cx="422" cy="16848"/>
                            </a:xfrm>
                            <a:effectLst/>
                          </wpg:grpSpPr>
                          <wps:wsp>
                            <wps:cNvPr id="8" name="直接连接符 8"/>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9" name="直接连接符 9"/>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0" name="直接连接符 10"/>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1" name="直接连接符 11"/>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grpSp>
                        <wps:wsp>
                          <wps:cNvPr id="13" name="文本框 13"/>
                          <wps:cNvSpPr txBox="1"/>
                          <wps:spPr>
                            <a:xfrm>
                              <a:off x="0" y="6396"/>
                              <a:ext cx="11821"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青河县消防救援大队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wps:txbx>
                          <wps:bodyPr upright="1"/>
                        </wps:wsp>
                      </wpg:grpSp>
                    </wpg:wgp>
                  </a:graphicData>
                </a:graphic>
              </wp:anchor>
            </w:drawing>
          </mc:Choice>
          <mc:Fallback>
            <w:pict>
              <v:group id="组合 1080" o:spid="_x0000_s1026" o:spt="203" style="position:absolute;left:0pt;margin-left:-70.5pt;margin-top:-71.95pt;height:873.6pt;width:657pt;z-index:-251657216;mso-width-relative:page;mso-height-relative:page;" coordsize="13140,17472" o:gfxdata="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">
                <o:lock v:ext="edit" aspectratio="f"/>
                <v:rect id="_x0000_s1026" o:spid="_x0000_s1026" o:spt="1" style="position:absolute;left:0;top:0;height:17472;width:13140;" filled="f" stroked="f" coordsize="21600,21600" o:gfxdata="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RsTm8AAAA&#10;2gAAAA8AAAAAAAAAAQAgAAAAIgAAAGRycy9kb3ducmV2LnhtbFBLAQIUABQAAAAIAIdO4kAzLwWe&#10;OwAAADkAAAAQAAAAAAAAAAEAIAAAAAsBAABkcnMvc2hhcGV4bWwueG1sUEsFBgAAAAAGAAYAWwEA&#10;ALUDAAAAAA==&#10;">
                  <v:fill on="f" focussize="0,0"/>
                  <v:stroke on="f"/>
                  <v:imagedata o:title=""/>
                  <o:lock v:ext="edit" text="t" aspectratio="t"/>
                </v:rect>
                <v:group id="_x0000_s1026" o:spid="_x0000_s1026" o:spt="203" style="position:absolute;left:540;top:0;height:16969;width:11830;" coordsize="11830,16969"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rect id="_x0000_s1026" o:spid="_x0000_s1026" o:spt="1" style="position:absolute;left:6836;top:0;height:16969;width:4994;" fillcolor="#CCFFCC" filled="t" stroked="t" coordsize="21600,21600" o:gfxdata="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hKfMvQAA&#10;ANoAAAAPAAAAAAAAAAEAIAAAACIAAABkcnMvZG93bnJldi54bWxQSwECFAAUAAAACACHTuJAMy8F&#10;njsAAAA5AAAAEAAAAAAAAAABACAAAAAMAQAAZHJzL3NoYXBleG1sLnhtbFBLBQYAAAAABgAGAFsB&#10;AAC2AwAAAAA=&#10;">
                    <v:fill on="t" focussize="0,0"/>
                    <v:stroke color="#000000" joinstyle="miter"/>
                    <v:imagedata o:title=""/>
                    <o:lock v:ext="edit" aspectratio="f"/>
                  </v:rect>
                  <v:group id="_x0000_s1026" o:spid="_x0000_s1026" o:spt="203" style="position:absolute;left:3600;top:0;height:16848;width:422;" coordsize="422,16848"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line id="_x0000_s1026" o:spid="_x0000_s1026" o:spt="20" style="position:absolute;left:156;top:0;height:16848;width:2;" filled="f" stroked="t" coordsize="21600,21600" o:gfxdata="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W3MVvQAA&#10;ANo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jRfWjr8AAADa&#10;AAAADwAAAGRycy9kb3ducmV2LnhtbEWPQWvCQBSE70L/w/IKvZlNPFiNbkIRK4UWxCja4yP7TILZ&#10;tzG7Vdtf3y0UPA4z8w0zz2+mFRfqXWNZQRLFIIhLqxuuFOy2r8MJCOeRNbaWScE3Ocizh8EcU22v&#10;vKFL4SsRIOxSVFB736VSurImgy6yHXHwjrY36IPsK6l7vAa4aeUojsfSYMNhocaOFjWVp+LLKJi8&#10;v5yX+49i/CNXx/XzIbGn9epTqafHJJ6B8HTz9/B/+00rmMLflXADZP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0X1o6/&#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VGK/S7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6+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iv0u/&#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Oy4a0L0AAADb&#10;AAAADwAAAGRycy9kb3ducmV2LnhtbEVPTWvCQBC9C/0Pywi9mU08WIlZpUiVQgvSWGqPQ3ZMgtnZ&#10;NLtNrL++Kwje5vE+J1udTSN66lxtWUESxSCIC6trLhV87jeTOQjnkTU2lknBHzlYLR9GGabaDvxB&#10;fe5LEULYpaig8r5NpXRFRQZdZFviwB1tZ9AH2JVSdziEcNPIaRzPpMGaQ0OFLa0rKk75r1Ewf3v+&#10;efl6z2cXuT3ung6JPe2230o9jpN4AcLT2d/FN/erDvMTuP4SDp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LhrQ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group>
                  <v:shape id="_x0000_s1026" o:spid="_x0000_s1026" o:spt="202" type="#_x0000_t202" style="position:absolute;left:0;top:6396;height:3588;width:11821;" fillcolor="#CC99FF" filled="t" stroked="t" coordsize="21600,21600" o:gfxdata="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6R9iE7gAAADbAAAA&#10;DwAAAAAAAAABACAAAAAiAAAAZHJzL2Rvd25yZXYueG1sUEsBAhQAFAAAAAgAh07iQDMvBZ47AAAA&#10;OQAAABAAAAAAAAAAAQAgAAAABwEAAGRycy9zaGFwZXhtbC54bWxQSwUGAAAAAAYABgBbAQAAsQMA&#10;AAAA&#10;">
                    <v:fill on="t" focussize="0,0"/>
                    <v:stroke color="#000000" joinstyle="miter"/>
                    <v:imagedata o:title=""/>
                    <o:lock v:ext="edit" aspectratio="f"/>
                    <v:textbo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青河县消防救援大队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v:textbox>
                  </v:shape>
                </v:group>
              </v:group>
            </w:pict>
          </mc:Fallback>
        </mc:AlternateContent>
      </w: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widowControl/>
        <w:jc w:val="center"/>
        <w:rPr>
          <w:rFonts w:hint="default" w:ascii="Times New Roman" w:hAnsi="Times New Roman" w:cs="Times New Roman"/>
          <w:b/>
          <w:bCs/>
          <w:kern w:val="0"/>
          <w:sz w:val="24"/>
        </w:rPr>
      </w:pPr>
    </w:p>
    <w:p>
      <w:pPr>
        <w:widowControl/>
        <w:ind w:left="-542" w:leftChars="-770" w:hanging="1075" w:hangingChars="448"/>
        <w:jc w:val="center"/>
        <w:rPr>
          <w:rFonts w:hint="default" w:ascii="Times New Roman" w:hAnsi="Times New Roman" w:cs="Times New Roman"/>
          <w:b/>
          <w:bCs/>
          <w:kern w:val="0"/>
          <w:sz w:val="24"/>
        </w:rPr>
      </w:pPr>
    </w:p>
    <w:p>
      <w:pPr>
        <w:widowControl/>
        <w:ind w:left="-1079" w:leftChars="-514"/>
        <w:jc w:val="center"/>
        <w:rPr>
          <w:rFonts w:hint="default" w:ascii="Times New Roman" w:hAnsi="Times New Roman" w:cs="Times New Roman"/>
          <w:b/>
          <w:bCs/>
          <w:kern w:val="0"/>
          <w:sz w:val="24"/>
        </w:rPr>
      </w:pPr>
    </w:p>
    <w:p>
      <w:pPr>
        <w:ind w:leftChars="-599" w:hanging="1252" w:hangingChars="348"/>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lang w:eastAsia="zh-CN"/>
        </w:rPr>
      </w:pPr>
    </w:p>
    <w:p>
      <w:pPr>
        <w:jc w:val="left"/>
      </w:pPr>
      <w:r>
        <w:drawing>
          <wp:inline distT="0" distB="0" distL="114300" distR="114300">
            <wp:extent cx="5758815" cy="3710940"/>
            <wp:effectExtent l="0" t="0" r="1905" b="762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7"/>
                    <a:stretch>
                      <a:fillRect/>
                    </a:stretch>
                  </pic:blipFill>
                  <pic:spPr>
                    <a:xfrm>
                      <a:off x="0" y="0"/>
                      <a:ext cx="5758815" cy="371094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2465" cy="1991995"/>
            <wp:effectExtent l="0" t="0" r="8255" b="4445"/>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8"/>
                    <a:stretch>
                      <a:fillRect/>
                    </a:stretch>
                  </pic:blipFill>
                  <pic:spPr>
                    <a:xfrm>
                      <a:off x="0" y="0"/>
                      <a:ext cx="5752465" cy="199199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49925" cy="1798320"/>
            <wp:effectExtent l="0" t="0" r="10795" b="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9"/>
                    <a:stretch>
                      <a:fillRect/>
                    </a:stretch>
                  </pic:blipFill>
                  <pic:spPr>
                    <a:xfrm>
                      <a:off x="0" y="0"/>
                      <a:ext cx="5749925" cy="179832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4370" cy="3854450"/>
            <wp:effectExtent l="0" t="0" r="6350" b="127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10"/>
                    <a:stretch>
                      <a:fillRect/>
                    </a:stretch>
                  </pic:blipFill>
                  <pic:spPr>
                    <a:xfrm>
                      <a:off x="0" y="0"/>
                      <a:ext cx="5754370" cy="385445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9450" cy="2011045"/>
            <wp:effectExtent l="0" t="0" r="1270" b="635"/>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1"/>
                    <a:stretch>
                      <a:fillRect/>
                    </a:stretch>
                  </pic:blipFill>
                  <pic:spPr>
                    <a:xfrm>
                      <a:off x="0" y="0"/>
                      <a:ext cx="5759450" cy="201104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5640" cy="2118995"/>
            <wp:effectExtent l="0" t="0" r="5080" b="14605"/>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12"/>
                    <a:stretch>
                      <a:fillRect/>
                    </a:stretch>
                  </pic:blipFill>
                  <pic:spPr>
                    <a:xfrm>
                      <a:off x="0" y="0"/>
                      <a:ext cx="5755640" cy="211899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0560" cy="3482340"/>
            <wp:effectExtent l="0" t="0" r="10160" b="762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13"/>
                    <a:stretch>
                      <a:fillRect/>
                    </a:stretch>
                  </pic:blipFill>
                  <pic:spPr>
                    <a:xfrm>
                      <a:off x="0" y="0"/>
                      <a:ext cx="5750560" cy="348234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49925" cy="1829435"/>
            <wp:effectExtent l="0" t="0" r="10795" b="14605"/>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14"/>
                    <a:stretch>
                      <a:fillRect/>
                    </a:stretch>
                  </pic:blipFill>
                  <pic:spPr>
                    <a:xfrm>
                      <a:off x="0" y="0"/>
                      <a:ext cx="5749925" cy="182943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0560" cy="1677035"/>
            <wp:effectExtent l="0" t="0" r="10160" b="14605"/>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pic:cNvPicPr>
                      <a:picLocks noChangeAspect="1"/>
                    </pic:cNvPicPr>
                  </pic:nvPicPr>
                  <pic:blipFill>
                    <a:blip r:embed="rId15"/>
                    <a:stretch>
                      <a:fillRect/>
                    </a:stretch>
                  </pic:blipFill>
                  <pic:spPr>
                    <a:xfrm>
                      <a:off x="0" y="0"/>
                      <a:ext cx="5750560" cy="1677035"/>
                    </a:xfrm>
                    <a:prstGeom prst="rect">
                      <a:avLst/>
                    </a:prstGeom>
                    <a:noFill/>
                    <a:ln>
                      <a:noFill/>
                    </a:ln>
                  </pic:spPr>
                </pic:pic>
              </a:graphicData>
            </a:graphic>
          </wp:inline>
        </w:drawing>
      </w: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jc w:val="left"/>
      </w:pPr>
      <w:r>
        <w:drawing>
          <wp:inline distT="0" distB="0" distL="114300" distR="114300">
            <wp:extent cx="5757545" cy="1571625"/>
            <wp:effectExtent l="0" t="0" r="3175" b="13335"/>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16"/>
                    <a:stretch>
                      <a:fillRect/>
                    </a:stretch>
                  </pic:blipFill>
                  <pic:spPr>
                    <a:xfrm>
                      <a:off x="0" y="0"/>
                      <a:ext cx="5757545" cy="157162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rPr>
          <w:rFonts w:hint="default" w:ascii="Times New Roman" w:hAnsi="Times New Roman" w:eastAsia="黑体" w:cs="Times New Roman"/>
          <w:b/>
          <w:sz w:val="36"/>
          <w:szCs w:val="36"/>
          <w:lang w:eastAsia="zh-CN"/>
        </w:rPr>
      </w:pPr>
      <w:r>
        <w:drawing>
          <wp:inline distT="0" distB="0" distL="114300" distR="114300">
            <wp:extent cx="5755005" cy="1316990"/>
            <wp:effectExtent l="0" t="0" r="5715" b="8890"/>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pic:cNvPicPr>
                  </pic:nvPicPr>
                  <pic:blipFill>
                    <a:blip r:embed="rId17"/>
                    <a:stretch>
                      <a:fillRect/>
                    </a:stretch>
                  </pic:blipFill>
                  <pic:spPr>
                    <a:xfrm>
                      <a:off x="0" y="0"/>
                      <a:ext cx="5755005" cy="1316990"/>
                    </a:xfrm>
                    <a:prstGeom prst="rect">
                      <a:avLst/>
                    </a:prstGeom>
                    <a:noFill/>
                    <a:ln>
                      <a:noFill/>
                    </a:ln>
                  </pic:spPr>
                </pic:pic>
              </a:graphicData>
            </a:graphic>
          </wp:inline>
        </w:drawing>
      </w:r>
    </w:p>
    <w:p>
      <w:pPr>
        <w:jc w:val="left"/>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r>
        <w:rPr>
          <w:rFonts w:hint="default" w:ascii="Times New Roman" w:hAnsi="Times New Roman" w:eastAsia="仿宋" w:cs="Times New Roman"/>
          <w:b/>
          <w:sz w:val="32"/>
          <w:szCs w:val="32"/>
        </w:rPr>
        <mc:AlternateContent>
          <mc:Choice Requires="wps">
            <w:drawing>
              <wp:anchor distT="0" distB="0" distL="114300" distR="114300" simplePos="0" relativeHeight="251663360" behindDoc="1" locked="0" layoutInCell="1" allowOverlap="1">
                <wp:simplePos x="0" y="0"/>
                <wp:positionH relativeFrom="column">
                  <wp:posOffset>3261360</wp:posOffset>
                </wp:positionH>
                <wp:positionV relativeFrom="paragraph">
                  <wp:posOffset>-936625</wp:posOffset>
                </wp:positionV>
                <wp:extent cx="3171190" cy="10800080"/>
                <wp:effectExtent l="5080" t="5080" r="5080" b="15240"/>
                <wp:wrapNone/>
                <wp:docPr id="41" name="矩形 41"/>
                <wp:cNvGraphicFramePr/>
                <a:graphic xmlns:a="http://schemas.openxmlformats.org/drawingml/2006/main">
                  <a:graphicData uri="http://schemas.microsoft.com/office/word/2010/wordprocessingShape">
                    <wps:wsp>
                      <wps:cNvSpPr/>
                      <wps:spPr>
                        <a:xfrm>
                          <a:off x="0" y="0"/>
                          <a:ext cx="3171190" cy="10800080"/>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56.8pt;margin-top:-73.75pt;height:850.4pt;width:249.7pt;z-index:-251653120;mso-width-relative:page;mso-height-relative:page;" fillcolor="#CCFFCC" filled="t" stroked="t" coordsize="21600,21600" o:gfxdata="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lvRp7eAAAADgEAAA8AAAAAAAAAAQAgAAAA&#10;IgAAAGRycy9kb3ducmV2LnhtbFBLAQIUABQAAAAIAIdO4kBoTvhsBQIAADAEAAAOAAAAAAAAAAEA&#10;IAAAAC0BAABkcnMvZTJvRG9jLnhtbFBLBQYAAAAABgAGAFkBAACkBQAAAAA=&#10;">
                <v:fill on="t" focussize="0,0"/>
                <v:stroke color="#000000" joinstyle="miter"/>
                <v:imagedata o:title=""/>
                <o:lock v:ext="edit" aspectratio="f"/>
              </v:rect>
            </w:pict>
          </mc:Fallback>
        </mc:AlternateContent>
      </w:r>
      <w:bookmarkStart w:id="4" w:name="_GoBack"/>
      <w:bookmarkEnd w:id="4"/>
      <w:bookmarkStart w:id="0" w:name="_1490679756"/>
      <w:bookmarkEnd w:id="0"/>
      <w:bookmarkStart w:id="1" w:name="_1490939084"/>
      <w:bookmarkEnd w:id="1"/>
      <w:bookmarkStart w:id="2" w:name="_1490679875"/>
      <w:bookmarkEnd w:id="2"/>
      <w:bookmarkStart w:id="3" w:name="_1490679828"/>
      <w:bookmarkEnd w:id="3"/>
      <w:r>
        <w:rPr>
          <w:rFonts w:hint="default" w:ascii="Times New Roman" w:hAnsi="Times New Roman" w:eastAsia="黑体" w:cs="Times New Roman"/>
          <w:sz w:val="32"/>
          <w:szCs w:val="32"/>
        </w:rPr>
        <mc:AlternateContent>
          <mc:Choice Requires="wps">
            <w:drawing>
              <wp:anchor distT="0" distB="0" distL="114300" distR="114300" simplePos="0" relativeHeight="251665408" behindDoc="1" locked="0" layoutInCell="1" allowOverlap="1">
                <wp:simplePos x="0" y="0"/>
                <wp:positionH relativeFrom="column">
                  <wp:posOffset>-1028700</wp:posOffset>
                </wp:positionH>
                <wp:positionV relativeFrom="paragraph">
                  <wp:posOffset>2872740</wp:posOffset>
                </wp:positionV>
                <wp:extent cx="7461885" cy="2278380"/>
                <wp:effectExtent l="5080" t="4445" r="19685" b="22225"/>
                <wp:wrapNone/>
                <wp:docPr id="40" name="文本框 40"/>
                <wp:cNvGraphicFramePr/>
                <a:graphic xmlns:a="http://schemas.openxmlformats.org/drawingml/2006/main">
                  <a:graphicData uri="http://schemas.microsoft.com/office/word/2010/wordprocessingShape">
                    <wps:wsp>
                      <wps:cNvSpPr txBox="1"/>
                      <wps:spPr>
                        <a:xfrm>
                          <a:off x="0" y="0"/>
                          <a:ext cx="7543800"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青河县消防救援大队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wps:txbx>
                      <wps:bodyPr upright="1"/>
                    </wps:wsp>
                  </a:graphicData>
                </a:graphic>
              </wp:anchor>
            </w:drawing>
          </mc:Choice>
          <mc:Fallback>
            <w:pict>
              <v:shape id="_x0000_s1026" o:spid="_x0000_s1026" o:spt="202" type="#_x0000_t202" style="position:absolute;left:0pt;margin-left:-81pt;margin-top:226.2pt;height:179.4pt;width:587.55pt;z-index:-251651072;mso-width-relative:page;mso-height-relative:page;" fillcolor="#CC99FF" filled="t" stroked="t" coordsize="21600,21600" o:gfxdata="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UqdWbaAAAADQEAAA8A&#10;AAAAAAAAAQAgAAAAIgAAAGRycy9kb3ducmV2LnhtbFBLAQIUABQAAAAIAIdO4kCXQc4PFQIAAEcE&#10;AAAOAAAAAAAAAAEAIAAAACkBAABkcnMvZTJvRG9jLnhtbFBLBQYAAAAABgAGAFkBAACwBQAAAAA=&#10;">
                <v:fill on="t" focussize="0,0"/>
                <v:stroke color="#000000" joinstyle="miter"/>
                <v:imagedata o:title=""/>
                <o:lock v:ext="edit" aspectratio="f"/>
                <v:textbo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青河县消防救援大队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v:textbox>
              </v:shape>
            </w:pict>
          </mc:Fallback>
        </mc:AlternateContent>
      </w:r>
      <w:r>
        <w:rPr>
          <w:rFonts w:hint="default" w:ascii="Times New Roman" w:hAnsi="Times New Roman" w:eastAsia="仿宋" w:cs="Times New Roman"/>
          <w:b/>
          <w:sz w:val="32"/>
          <w:szCs w:val="32"/>
        </w:rPr>
        <mc:AlternateContent>
          <mc:Choice Requires="wpg">
            <w:drawing>
              <wp:anchor distT="0" distB="0" distL="114300" distR="114300" simplePos="0" relativeHeight="251664384" behindDoc="1" locked="0" layoutInCell="1" allowOverlap="1">
                <wp:simplePos x="0" y="0"/>
                <wp:positionH relativeFrom="column">
                  <wp:posOffset>1257300</wp:posOffset>
                </wp:positionH>
                <wp:positionV relativeFrom="paragraph">
                  <wp:posOffset>-891540</wp:posOffset>
                </wp:positionV>
                <wp:extent cx="267970" cy="10698480"/>
                <wp:effectExtent l="6350" t="0" r="0" b="7620"/>
                <wp:wrapNone/>
                <wp:docPr id="20" name="组合 1073"/>
                <wp:cNvGraphicFramePr/>
                <a:graphic xmlns:a="http://schemas.openxmlformats.org/drawingml/2006/main">
                  <a:graphicData uri="http://schemas.microsoft.com/office/word/2010/wordprocessingGroup">
                    <wpg:wgp>
                      <wpg:cNvGrpSpPr/>
                      <wpg:grpSpPr>
                        <a:xfrm>
                          <a:off x="0" y="0"/>
                          <a:ext cx="267970" cy="10698480"/>
                          <a:chOff x="0" y="0"/>
                          <a:chExt cx="422" cy="16848"/>
                        </a:xfrm>
                        <a:effectLst/>
                      </wpg:grpSpPr>
                      <wps:wsp>
                        <wps:cNvPr id="16" name="直接连接符 16"/>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17" name="直接连接符 17"/>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8" name="直接连接符 18"/>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9" name="直接连接符 19"/>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73" o:spid="_x0000_s1026" o:spt="203" style="position:absolute;left:0pt;margin-left:99pt;margin-top:-70.2pt;height:842.4pt;width:21.1pt;z-index:-251652096;mso-width-relative:page;mso-height-relative:page;" coordsize="422,16848" o:gfxdata="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zs7JptsAAAANAQAADwAAAAAAAAABACAA&#10;AAAiAAAAZHJzL2Rvd25yZXYueG1sUEsBAhQAFAAAAAgAh07iQJp/geG1AgAAdQsAAA4AAAAAAAAA&#10;AQAgAAAAKgEAAGRycy9lMm9Eb2MueG1sUEsFBgAAAAAGAAYAWQEAAFEGAAAAAA==&#10;">
                <o:lock v:ext="edit" aspectratio="f"/>
                <v:line id="_x0000_s1026" o:spid="_x0000_s1026" o:spt="20" style="position:absolute;left:156;top:0;height:16848;width:2;" filled="f" stroked="t" coordsize="21600,21600" o:gfxdata="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x4Kk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24snP70AAADb&#10;AAAADwAAAGRycy9kb3ducmV2LnhtbEVPTWvCQBC9F/oflin0VjfxYCS6hlJaKViQRlGPQ3ZMQrKz&#10;Mbtq6q/vCoXe5vE+Z54NphUX6l1tWUE8ikAQF1bXXCrYbj5epiCcR9bYWiYFP+QgWzw+zDHV9srf&#10;dMl9KUIIuxQVVN53qZSuqMigG9mOOHBH2xv0Afal1D1eQ7hp5TiKJtJgzaGhwo7eKiqa/GwUTFev&#10;p/fdVz65yeVxnexj26yXB6Wen+JoBsLT4P/Ff+5PHeYncP8lHC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iyc/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qhSzTb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Y+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Us02/&#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xVgW1rwAAADb&#10;AAAADwAAAGRycy9kb3ducmV2LnhtbEVPS2vCQBC+F/wPywje6iY9+EhdRURFUJDG0nocsmMSzM6m&#10;2fX5611B6G0+vueMJldTiTM1rrSsIO5GIIgzq0vOFXzvFu8DEM4ja6wsk4IbOZiMW28jTLS98Bed&#10;U5+LEMIuQQWF93UipcsKMui6tiYO3ME2Bn2ATS51g5cQbir5EUU9abDk0FBgTbOCsmN6MgoG6+nf&#10;/GeT9u5yedj2f2N73C73SnXacfQJwtPV/4tf7pUO84fw/CUcIM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YFta8AAAA&#10;2w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group>
            </w:pict>
          </mc:Fallback>
        </mc:AlternateContent>
      </w:r>
    </w:p>
    <w:p>
      <w:pPr>
        <w:keepNext w:val="0"/>
        <w:keepLines w:val="0"/>
        <w:pageBreakBefore/>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lang w:val="en-US" w:eastAsia="zh-CN"/>
        </w:rPr>
      </w:pPr>
      <w:r>
        <w:rPr>
          <w:rFonts w:hint="default" w:ascii="Times New Roman" w:hAnsi="Times New Roman" w:eastAsia="方正黑体_GBK" w:cs="Times New Roman"/>
          <w:b w:val="0"/>
          <w:bCs w:val="0"/>
          <w:sz w:val="32"/>
          <w:szCs w:val="32"/>
        </w:rPr>
        <w:t>一、</w:t>
      </w:r>
      <w:r>
        <w:rPr>
          <w:rFonts w:hint="eastAsia" w:eastAsia="方正黑体_GBK" w:cs="Times New Roman"/>
          <w:b w:val="0"/>
          <w:bCs w:val="0"/>
          <w:sz w:val="32"/>
          <w:szCs w:val="32"/>
          <w:lang w:eastAsia="zh-CN"/>
        </w:rPr>
        <w:t>收入支出总体情况说明</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eastAsia" w:eastAsia="方正仿宋_GBK" w:cs="Times New Roman"/>
          <w:sz w:val="32"/>
          <w:szCs w:val="32"/>
          <w:lang w:val="en-US" w:eastAsia="zh-CN"/>
        </w:rPr>
      </w:pPr>
      <w:r>
        <w:rPr>
          <w:rFonts w:hint="eastAsia" w:eastAsia="方正仿宋_GBK" w:cs="Times New Roman"/>
          <w:sz w:val="32"/>
          <w:szCs w:val="32"/>
          <w:lang w:val="en-US" w:eastAsia="zh-CN"/>
        </w:rPr>
        <w:t>1、收入情况</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default" w:ascii="Times New Roman" w:hAnsi="Times New Roman" w:eastAsia="仿宋_GB2312" w:cs="Times New Roman"/>
          <w:sz w:val="32"/>
          <w:szCs w:val="32"/>
        </w:rPr>
      </w:pPr>
      <w:r>
        <w:rPr>
          <w:rFonts w:hint="eastAsia" w:eastAsia="方正仿宋_GBK" w:cs="Times New Roman"/>
          <w:sz w:val="32"/>
          <w:szCs w:val="32"/>
          <w:lang w:eastAsia="zh-CN"/>
        </w:rPr>
        <w:t>2024年度</w:t>
      </w:r>
      <w:r>
        <w:rPr>
          <w:rFonts w:hint="eastAsia" w:eastAsia="方正仿宋_GBK" w:cs="Times New Roman"/>
          <w:sz w:val="32"/>
          <w:szCs w:val="32"/>
          <w:lang w:val="en-US" w:eastAsia="zh-CN"/>
        </w:rPr>
        <w:t>总收入314.39</w:t>
      </w:r>
      <w:r>
        <w:rPr>
          <w:rFonts w:hint="default" w:ascii="Times New Roman" w:hAnsi="Times New Roman" w:eastAsia="方正仿宋_GBK" w:cs="Times New Roman"/>
          <w:sz w:val="32"/>
          <w:szCs w:val="32"/>
        </w:rPr>
        <w:t>万元，</w:t>
      </w:r>
      <w:r>
        <w:rPr>
          <w:rFonts w:hint="eastAsia" w:eastAsia="方正仿宋_GBK" w:cs="Times New Roman"/>
          <w:sz w:val="32"/>
          <w:szCs w:val="32"/>
          <w:lang w:val="en-US" w:eastAsia="zh-CN"/>
        </w:rPr>
        <w:t>其中本年收入233.72万元，年初结转和结余80.67万元。具体情况如下图（图1）：</w:t>
      </w:r>
    </w:p>
    <w:p>
      <w:pPr>
        <w:keepNext w:val="0"/>
        <w:keepLines w:val="0"/>
        <w:pageBreakBefore w:val="0"/>
        <w:kinsoku/>
        <w:wordWrap/>
        <w:overflowPunct/>
        <w:topLinePunct w:val="0"/>
        <w:autoSpaceDE/>
        <w:autoSpaceDN/>
        <w:bidi w:val="0"/>
        <w:adjustRightInd/>
        <w:snapToGrid/>
        <w:spacing w:line="240" w:lineRule="auto"/>
        <w:ind w:firstLine="640" w:firstLineChars="200"/>
        <w:textAlignment w:val="auto"/>
        <w:rPr>
          <w:rFonts w:hint="default" w:ascii="Times New Roman" w:hAnsi="Times New Roman" w:eastAsia="黑体" w:cs="Times New Roman"/>
          <w:sz w:val="32"/>
          <w:szCs w:val="32"/>
        </w:rPr>
      </w:pPr>
      <w:r>
        <w:rPr>
          <w:rFonts w:hint="default" w:ascii="Times New Roman" w:hAnsi="Times New Roman" w:eastAsia="仿宋_GB2312" w:cs="Times New Roman"/>
          <w:sz w:val="32"/>
          <w:szCs w:val="30"/>
        </w:rPr>
        <w:drawing>
          <wp:inline distT="0" distB="0" distL="114300" distR="114300">
            <wp:extent cx="4838700" cy="2758440"/>
            <wp:effectExtent l="0" t="0" r="7620" b="0"/>
            <wp:docPr id="52" name="图片 52" descr="c8ae195a-dbcc-4f7d-b4b0-9b5ef1867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c8ae195a-dbcc-4f7d-b4b0-9b5ef1867257"/>
                    <pic:cNvPicPr>
                      <a:picLocks noChangeAspect="1"/>
                    </pic:cNvPicPr>
                  </pic:nvPicPr>
                  <pic:blipFill>
                    <a:blip r:embed="rId18"/>
                    <a:stretch>
                      <a:fillRect/>
                    </a:stretch>
                  </pic:blipFill>
                  <pic:spPr>
                    <a:xfrm>
                      <a:off x="0" y="0"/>
                      <a:ext cx="4838700" cy="2758440"/>
                    </a:xfrm>
                    <a:prstGeom prst="rect">
                      <a:avLst/>
                    </a:prstGeom>
                  </pic:spPr>
                </pic:pic>
              </a:graphicData>
            </a:graphic>
          </wp:inline>
        </w:drawing>
      </w:r>
      <w:r>
        <w:rPr>
          <w:rFonts w:hint="default" w:ascii="Times New Roman" w:hAnsi="Times New Roman" w:eastAsia="仿宋_GB2312" w:cs="Times New Roman"/>
          <w:sz w:val="32"/>
          <w:szCs w:val="30"/>
        </w:rPr>
        <mc:AlternateContent>
          <mc:Choice Requires="wps">
            <w:drawing>
              <wp:anchor distT="0" distB="0" distL="114300" distR="114300" simplePos="0" relativeHeight="251667456" behindDoc="0" locked="0" layoutInCell="1" allowOverlap="1">
                <wp:simplePos x="0" y="0"/>
                <wp:positionH relativeFrom="column">
                  <wp:posOffset>623570</wp:posOffset>
                </wp:positionH>
                <wp:positionV relativeFrom="paragraph">
                  <wp:posOffset>631190</wp:posOffset>
                </wp:positionV>
                <wp:extent cx="254635" cy="635"/>
                <wp:effectExtent l="0" t="0" r="0" b="0"/>
                <wp:wrapNone/>
                <wp:docPr id="42" name="自选图形 1066"/>
                <wp:cNvGraphicFramePr/>
                <a:graphic xmlns:a="http://schemas.openxmlformats.org/drawingml/2006/main">
                  <a:graphicData uri="http://schemas.microsoft.com/office/word/2010/wordprocessingShape">
                    <wps:wsp>
                      <wps:cNvSpPr/>
                      <wps:spPr>
                        <a:xfrm>
                          <a:off x="0" y="0"/>
                          <a:ext cx="254635" cy="635"/>
                        </a:xfrm>
                        <a:prstGeom prst="borderCallout2">
                          <a:avLst>
                            <a:gd name="adj1" fmla="val 18000000"/>
                            <a:gd name="adj2" fmla="val -29926"/>
                            <a:gd name="adj3" fmla="val 18000000"/>
                            <a:gd name="adj4" fmla="val -164588"/>
                            <a:gd name="adj5" fmla="val 18000000"/>
                            <a:gd name="adj6" fmla="val -299750"/>
                          </a:avLst>
                        </a:prstGeom>
                        <a:gradFill rotWithShape="0">
                          <a:gsLst>
                            <a:gs pos="0">
                              <a:srgbClr val="FFFFFF"/>
                            </a:gs>
                            <a:gs pos="100000">
                              <a:srgbClr val="FFFFFF"/>
                            </a:gs>
                          </a:gsLst>
                          <a:lin ang="0"/>
                          <a:tileRect/>
                        </a:gradFill>
                        <a:ln w="15875">
                          <a:noFill/>
                        </a:ln>
                      </wps:spPr>
                      <wps:txbx>
                        <w:txbxContent>
                          <w:p/>
                        </w:txbxContent>
                      </wps:txbx>
                      <wps:bodyPr upright="1"/>
                    </wps:wsp>
                  </a:graphicData>
                </a:graphic>
              </wp:anchor>
            </w:drawing>
          </mc:Choice>
          <mc:Fallback>
            <w:pict>
              <v:shape id="自选图形 1066" o:spid="_x0000_s1026" o:spt="48" type="#_x0000_t48" style="position:absolute;left:0pt;margin-left:49.1pt;margin-top:49.7pt;height:0.05pt;width:20.05pt;z-index:251667456;mso-width-relative:page;mso-height-relative:page;" fillcolor="#FFFFFF" filled="t" stroked="f" coordsize="21600,21600" o:gfxdata="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Nob3DdYAAAAIAQAA&#10;DwAAAAAAAAABACAAAAAiAAAAZHJzL2Rvd25yZXYueG1sUEsBAhQAFAAAAAgAh07iQAB4M/JUAgAA&#10;+gQAAA4AAAAAAAAAAQAgAAAAJQEAAGRycy9lMm9Eb2MueG1sUEsFBgAAAAAGAAYAWQEAAOsFAAAA&#10;AA==&#10;" adj="-64746,3888000,-35551,3888000,-6464,3888000">
                <v:fill type="gradient" on="t" color2="#FFFFFF" angle="90" focus="100%" focussize="0,0">
                  <o:fill type="gradientUnscaled" v:ext="backwardCompatible"/>
                </v:fill>
                <v:stroke on="f" weight="1.25pt"/>
                <v:imagedata o:title=""/>
                <o:lock v:ext="edit" aspectratio="f"/>
                <v:textbox>
                  <w:txbxContent>
                    <w:p/>
                  </w:txbxContent>
                </v:textbox>
              </v:shape>
            </w:pict>
          </mc:Fallback>
        </mc:AlternateContent>
      </w:r>
    </w:p>
    <w:p>
      <w:pPr>
        <w:keepNext w:val="0"/>
        <w:keepLines w:val="0"/>
        <w:pageBreakBefore w:val="0"/>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default" w:ascii="Times New Roman" w:hAnsi="Times New Roman" w:eastAsia="方正黑体_GBK" w:cs="Times New Roman"/>
          <w:b w:val="0"/>
          <w:bCs w:val="0"/>
          <w:sz w:val="32"/>
          <w:szCs w:val="32"/>
        </w:rPr>
      </w:pPr>
    </w:p>
    <w:p>
      <w:pPr>
        <w:keepNext w:val="0"/>
        <w:keepLines w:val="0"/>
        <w:pageBreakBefore w:val="0"/>
        <w:widowControl w:val="0"/>
        <w:tabs>
          <w:tab w:val="left" w:pos="1081"/>
        </w:tabs>
        <w:kinsoku/>
        <w:wordWrap/>
        <w:overflowPunct/>
        <w:topLinePunct w:val="0"/>
        <w:autoSpaceDE/>
        <w:autoSpaceDN/>
        <w:bidi w:val="0"/>
        <w:adjustRightInd/>
        <w:snapToGrid/>
        <w:spacing w:line="620" w:lineRule="exact"/>
        <w:jc w:val="left"/>
        <w:textAlignment w:val="auto"/>
        <w:rPr>
          <w:rFonts w:hint="eastAsia" w:eastAsia="方正仿宋_GBK" w:cs="Times New Roman"/>
          <w:color w:val="auto"/>
          <w:sz w:val="32"/>
          <w:szCs w:val="32"/>
          <w:lang w:val="en-US" w:eastAsia="zh-CN"/>
        </w:rPr>
      </w:pPr>
      <w:r>
        <w:rPr>
          <w:rFonts w:hint="eastAsia" w:eastAsia="方正黑体_GBK" w:cs="Times New Roman"/>
          <w:b w:val="0"/>
          <w:bCs w:val="0"/>
          <w:sz w:val="32"/>
          <w:szCs w:val="32"/>
          <w:lang w:val="en-US" w:eastAsia="zh-CN"/>
        </w:rPr>
        <w:t xml:space="preserve">   </w:t>
      </w:r>
      <w:r>
        <w:rPr>
          <w:rFonts w:hint="eastAsia" w:ascii="Times New Roman" w:hAnsi="Times New Roman" w:eastAsia="方正仿宋_GBK" w:cs="Times New Roman"/>
          <w:kern w:val="2"/>
          <w:sz w:val="32"/>
          <w:szCs w:val="32"/>
          <w:lang w:val="en-US" w:eastAsia="zh-CN" w:bidi="ar-SA"/>
        </w:rPr>
        <w:t>（1）</w:t>
      </w:r>
      <w:r>
        <w:rPr>
          <w:rFonts w:hint="eastAsia" w:eastAsia="方正仿宋_GBK" w:cs="Times New Roman"/>
          <w:sz w:val="32"/>
          <w:szCs w:val="32"/>
          <w:lang w:val="en-US" w:eastAsia="zh-CN"/>
        </w:rPr>
        <w:t>财政拨款收入33.86万元。系青河县消防救援大队当年从中央财政取得一般公共预算资金。</w:t>
      </w:r>
      <w:r>
        <w:rPr>
          <w:rFonts w:hint="eastAsia" w:eastAsia="方正仿宋_GBK" w:cs="Times New Roman"/>
          <w:color w:val="auto"/>
          <w:sz w:val="32"/>
          <w:szCs w:val="32"/>
          <w:lang w:val="en-US" w:eastAsia="zh-CN"/>
        </w:rPr>
        <w:t>比2023年度决算数增加3.86万元，增加12.87%，主要原因是人员增加，伙食费增加。</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2"/>
          <w:sz w:val="32"/>
          <w:szCs w:val="32"/>
          <w:lang w:val="en-US" w:eastAsia="zh-CN" w:bidi="ar-SA"/>
        </w:rPr>
      </w:pPr>
      <w:r>
        <w:rPr>
          <w:rFonts w:hint="eastAsia" w:ascii="Times New Roman" w:hAnsi="Times New Roman" w:eastAsia="方正仿宋_GBK" w:cs="Times New Roman"/>
          <w:color w:val="auto"/>
          <w:kern w:val="2"/>
          <w:sz w:val="32"/>
          <w:szCs w:val="32"/>
          <w:lang w:val="en-US" w:eastAsia="zh-CN" w:bidi="ar-SA"/>
        </w:rPr>
        <w:t>（2）其他收入</w:t>
      </w:r>
      <w:r>
        <w:rPr>
          <w:rFonts w:hint="eastAsia" w:eastAsia="方正仿宋_GBK" w:cs="Times New Roman"/>
          <w:color w:val="auto"/>
          <w:kern w:val="2"/>
          <w:sz w:val="32"/>
          <w:szCs w:val="32"/>
          <w:lang w:val="en-US" w:eastAsia="zh-CN" w:bidi="ar-SA"/>
        </w:rPr>
        <w:t>199.86</w:t>
      </w:r>
      <w:r>
        <w:rPr>
          <w:rFonts w:hint="eastAsia" w:ascii="Times New Roman" w:hAnsi="Times New Roman" w:eastAsia="方正仿宋_GBK" w:cs="Times New Roman"/>
          <w:color w:val="auto"/>
          <w:kern w:val="2"/>
          <w:sz w:val="32"/>
          <w:szCs w:val="32"/>
          <w:lang w:val="en-US" w:eastAsia="zh-CN" w:bidi="ar-SA"/>
        </w:rPr>
        <w:t>万元。系</w:t>
      </w:r>
      <w:r>
        <w:rPr>
          <w:rFonts w:hint="eastAsia" w:eastAsia="方正仿宋_GBK" w:cs="Times New Roman"/>
          <w:color w:val="auto"/>
          <w:sz w:val="32"/>
          <w:szCs w:val="32"/>
          <w:lang w:val="en-US" w:eastAsia="zh-CN"/>
        </w:rPr>
        <w:t>青河县消防救援大队</w:t>
      </w:r>
      <w:r>
        <w:rPr>
          <w:rFonts w:hint="eastAsia" w:ascii="Times New Roman" w:hAnsi="Times New Roman" w:eastAsia="方正仿宋_GBK" w:cs="Times New Roman"/>
          <w:color w:val="auto"/>
          <w:kern w:val="2"/>
          <w:sz w:val="32"/>
          <w:szCs w:val="32"/>
          <w:lang w:val="en-US" w:eastAsia="zh-CN" w:bidi="ar-SA"/>
        </w:rPr>
        <w:t>当年从</w:t>
      </w:r>
      <w:r>
        <w:rPr>
          <w:rFonts w:hint="eastAsia" w:eastAsia="方正仿宋_GBK" w:cs="Times New Roman"/>
          <w:color w:val="auto"/>
          <w:kern w:val="2"/>
          <w:sz w:val="32"/>
          <w:szCs w:val="32"/>
          <w:lang w:val="en-US" w:eastAsia="zh-CN" w:bidi="ar-SA"/>
        </w:rPr>
        <w:t>地方争取的消防业务经费</w:t>
      </w:r>
      <w:r>
        <w:rPr>
          <w:rFonts w:hint="eastAsia" w:ascii="Times New Roman" w:hAnsi="Times New Roman" w:eastAsia="方正仿宋_GBK" w:cs="Times New Roman"/>
          <w:color w:val="auto"/>
          <w:kern w:val="2"/>
          <w:sz w:val="32"/>
          <w:szCs w:val="32"/>
          <w:lang w:val="en-US" w:eastAsia="zh-CN" w:bidi="ar-SA"/>
        </w:rPr>
        <w:t>。比</w:t>
      </w:r>
      <w:r>
        <w:rPr>
          <w:rFonts w:hint="eastAsia" w:eastAsia="方正仿宋_GBK" w:cs="Times New Roman"/>
          <w:color w:val="auto"/>
          <w:kern w:val="2"/>
          <w:sz w:val="32"/>
          <w:szCs w:val="32"/>
          <w:lang w:val="en-US" w:eastAsia="zh-CN" w:bidi="ar-SA"/>
        </w:rPr>
        <w:t>2023</w:t>
      </w:r>
      <w:r>
        <w:rPr>
          <w:rFonts w:hint="eastAsia" w:ascii="Times New Roman" w:hAnsi="Times New Roman" w:eastAsia="方正仿宋_GBK" w:cs="Times New Roman"/>
          <w:color w:val="auto"/>
          <w:kern w:val="2"/>
          <w:sz w:val="32"/>
          <w:szCs w:val="32"/>
          <w:lang w:val="en-US" w:eastAsia="zh-CN" w:bidi="ar-SA"/>
        </w:rPr>
        <w:t>年度决算数</w:t>
      </w:r>
      <w:r>
        <w:rPr>
          <w:rFonts w:hint="eastAsia" w:eastAsia="方正仿宋_GBK" w:cs="Times New Roman"/>
          <w:color w:val="auto"/>
          <w:kern w:val="2"/>
          <w:sz w:val="32"/>
          <w:szCs w:val="32"/>
          <w:lang w:val="en-US" w:eastAsia="zh-CN" w:bidi="ar-SA"/>
        </w:rPr>
        <w:t>减少2.84</w:t>
      </w:r>
      <w:r>
        <w:rPr>
          <w:rFonts w:hint="eastAsia" w:ascii="Times New Roman" w:hAnsi="Times New Roman" w:eastAsia="方正仿宋_GBK" w:cs="Times New Roman"/>
          <w:color w:val="auto"/>
          <w:kern w:val="2"/>
          <w:sz w:val="32"/>
          <w:szCs w:val="32"/>
          <w:lang w:val="en-US" w:eastAsia="zh-CN" w:bidi="ar-SA"/>
        </w:rPr>
        <w:t>万元，</w:t>
      </w:r>
      <w:r>
        <w:rPr>
          <w:rFonts w:hint="eastAsia" w:eastAsia="方正仿宋_GBK" w:cs="Times New Roman"/>
          <w:color w:val="auto"/>
          <w:kern w:val="2"/>
          <w:sz w:val="32"/>
          <w:szCs w:val="32"/>
          <w:lang w:val="en-US" w:eastAsia="zh-CN" w:bidi="ar-SA"/>
        </w:rPr>
        <w:t>降低1.4</w:t>
      </w:r>
      <w:r>
        <w:rPr>
          <w:rFonts w:hint="eastAsia" w:ascii="Times New Roman" w:hAnsi="Times New Roman" w:eastAsia="方正仿宋_GBK" w:cs="Times New Roman"/>
          <w:color w:val="auto"/>
          <w:kern w:val="2"/>
          <w:sz w:val="32"/>
          <w:szCs w:val="32"/>
          <w:lang w:val="en-US" w:eastAsia="zh-CN" w:bidi="ar-SA"/>
        </w:rPr>
        <w:t>%，</w:t>
      </w:r>
      <w:r>
        <w:rPr>
          <w:rFonts w:hint="eastAsia" w:eastAsia="方正仿宋_GBK" w:cs="Times New Roman"/>
          <w:color w:val="auto"/>
          <w:kern w:val="2"/>
          <w:sz w:val="32"/>
          <w:szCs w:val="32"/>
          <w:lang w:val="en-US" w:eastAsia="zh-CN" w:bidi="ar-SA"/>
        </w:rPr>
        <w:t>基本保持持平</w:t>
      </w:r>
      <w:r>
        <w:rPr>
          <w:rFonts w:hint="eastAsia" w:ascii="Times New Roman" w:hAnsi="Times New Roman" w:eastAsia="方正仿宋_GBK" w:cs="Times New Roman"/>
          <w:color w:val="auto"/>
          <w:kern w:val="2"/>
          <w:sz w:val="32"/>
          <w:szCs w:val="32"/>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color w:val="auto"/>
          <w:kern w:val="2"/>
          <w:sz w:val="32"/>
          <w:szCs w:val="32"/>
          <w:lang w:val="en-US" w:eastAsia="zh-CN" w:bidi="ar-SA"/>
        </w:rPr>
      </w:pPr>
      <w:r>
        <w:rPr>
          <w:rFonts w:hint="eastAsia" w:eastAsia="方正仿宋_GBK" w:cs="Times New Roman"/>
          <w:color w:val="auto"/>
          <w:kern w:val="2"/>
          <w:sz w:val="32"/>
          <w:szCs w:val="32"/>
          <w:lang w:val="en-US" w:eastAsia="zh-CN" w:bidi="ar-SA"/>
        </w:rPr>
        <w:t>（3）年初结转和结余80.67万元。系</w:t>
      </w:r>
      <w:r>
        <w:rPr>
          <w:rFonts w:hint="eastAsia" w:eastAsia="方正仿宋_GBK" w:cs="Times New Roman"/>
          <w:color w:val="auto"/>
          <w:sz w:val="32"/>
          <w:szCs w:val="32"/>
          <w:lang w:val="en-US" w:eastAsia="zh-CN"/>
        </w:rPr>
        <w:t>青河县消防救援大队</w:t>
      </w:r>
      <w:r>
        <w:rPr>
          <w:rFonts w:hint="eastAsia" w:eastAsia="方正仿宋_GBK" w:cs="Times New Roman"/>
          <w:color w:val="auto"/>
          <w:kern w:val="2"/>
          <w:sz w:val="32"/>
          <w:szCs w:val="32"/>
          <w:lang w:val="en-US" w:eastAsia="zh-CN" w:bidi="ar-SA"/>
        </w:rPr>
        <w:t>当年结转人员经费。比2023年度决算数减少92.42万元，减少53.39%，主要原因是2023年结转和结余包含指战员以前年度绩效未发放完毕导致金额大。</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2、支出情况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2024</w:t>
      </w:r>
      <w:r>
        <w:rPr>
          <w:rFonts w:hint="default" w:eastAsia="方正仿宋_GBK" w:cs="Times New Roman"/>
          <w:kern w:val="2"/>
          <w:sz w:val="32"/>
          <w:szCs w:val="32"/>
          <w:lang w:val="en-US" w:eastAsia="zh-CN" w:bidi="ar-SA"/>
        </w:rPr>
        <w:t>年度总</w:t>
      </w:r>
      <w:r>
        <w:rPr>
          <w:rFonts w:hint="eastAsia" w:eastAsia="方正仿宋_GBK" w:cs="Times New Roman"/>
          <w:kern w:val="2"/>
          <w:sz w:val="32"/>
          <w:szCs w:val="32"/>
          <w:lang w:val="en-US" w:eastAsia="zh-CN" w:bidi="ar-SA"/>
        </w:rPr>
        <w:t>支出278.57</w:t>
      </w:r>
      <w:r>
        <w:rPr>
          <w:rFonts w:hint="default" w:eastAsia="方正仿宋_GBK" w:cs="Times New Roman"/>
          <w:kern w:val="2"/>
          <w:sz w:val="32"/>
          <w:szCs w:val="32"/>
          <w:lang w:val="en-US" w:eastAsia="zh-CN" w:bidi="ar-SA"/>
        </w:rPr>
        <w:t>万元。具体情况如下</w:t>
      </w:r>
      <w:r>
        <w:rPr>
          <w:rFonts w:hint="eastAsia" w:eastAsia="方正仿宋_GBK" w:cs="Times New Roman"/>
          <w:kern w:val="2"/>
          <w:sz w:val="32"/>
          <w:szCs w:val="32"/>
          <w:lang w:val="en-US" w:eastAsia="zh-CN" w:bidi="ar-SA"/>
        </w:rPr>
        <w:t>（图2）</w:t>
      </w:r>
      <w:r>
        <w:rPr>
          <w:rFonts w:hint="default" w:eastAsia="方正仿宋_GBK" w:cs="Times New Roman"/>
          <w:kern w:val="2"/>
          <w:sz w:val="32"/>
          <w:szCs w:val="32"/>
          <w:lang w:val="en-US" w:eastAsia="zh-CN" w:bidi="ar-SA"/>
        </w:rPr>
        <w:t>：</w:t>
      </w:r>
    </w:p>
    <w:p>
      <w:pPr>
        <w:pStyle w:val="2"/>
        <w:spacing w:line="240" w:lineRule="auto"/>
        <w:rPr>
          <w:rFonts w:hint="default" w:eastAsia="方正仿宋_GBK" w:cs="Times New Roman"/>
          <w:kern w:val="2"/>
          <w:sz w:val="32"/>
          <w:szCs w:val="32"/>
          <w:lang w:val="en-US" w:eastAsia="zh-CN" w:bidi="ar-SA"/>
        </w:rPr>
      </w:pPr>
      <w:r>
        <w:rPr>
          <w:rFonts w:hint="default" w:eastAsia="方正仿宋_GBK" w:cs="Times New Roman"/>
          <w:kern w:val="2"/>
          <w:sz w:val="32"/>
          <w:szCs w:val="32"/>
          <w:lang w:val="en-US" w:eastAsia="zh-CN" w:bidi="ar-SA"/>
        </w:rPr>
        <w:drawing>
          <wp:inline distT="0" distB="0" distL="114300" distR="114300">
            <wp:extent cx="4838700" cy="2758440"/>
            <wp:effectExtent l="0" t="0" r="7620" b="0"/>
            <wp:docPr id="53" name="图片 53" descr="f744b6ab-0f8d-4964-a9cb-1dddd99d8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f744b6ab-0f8d-4964-a9cb-1dddd99d8450"/>
                    <pic:cNvPicPr>
                      <a:picLocks noChangeAspect="1"/>
                    </pic:cNvPicPr>
                  </pic:nvPicPr>
                  <pic:blipFill>
                    <a:blip r:embed="rId19"/>
                    <a:stretch>
                      <a:fillRect/>
                    </a:stretch>
                  </pic:blipFill>
                  <pic:spPr>
                    <a:xfrm>
                      <a:off x="0" y="0"/>
                      <a:ext cx="4838700" cy="2758440"/>
                    </a:xfrm>
                    <a:prstGeom prst="rect">
                      <a:avLst/>
                    </a:prstGeom>
                  </pic:spPr>
                </pic:pic>
              </a:graphicData>
            </a:graphic>
          </wp:inline>
        </w:drawing>
      </w:r>
    </w:p>
    <w:p>
      <w:pPr>
        <w:keepNext w:val="0"/>
        <w:keepLines w:val="0"/>
        <w:pageBreakBefore w:val="0"/>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eastAsia" w:eastAsia="方正黑体_GBK" w:cs="Times New Roman"/>
          <w:b w:val="0"/>
          <w:bCs w:val="0"/>
          <w:sz w:val="32"/>
          <w:szCs w:val="32"/>
          <w:lang w:val="en-US" w:eastAsia="zh-CN"/>
        </w:rPr>
      </w:pP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仿宋_GBK" w:cs="Times New Roman"/>
          <w:color w:val="auto"/>
          <w:sz w:val="32"/>
          <w:szCs w:val="32"/>
          <w:lang w:val="en-US" w:eastAsia="zh-CN"/>
        </w:rPr>
      </w:pPr>
      <w:r>
        <w:rPr>
          <w:rFonts w:hint="eastAsia" w:eastAsia="方正仿宋_GBK" w:cs="Times New Roman"/>
          <w:color w:val="auto"/>
          <w:sz w:val="32"/>
          <w:szCs w:val="32"/>
          <w:lang w:val="en-US" w:eastAsia="zh-CN"/>
        </w:rPr>
        <w:t>灾害防治及应急管理支出（类）278.57万元。主要用于指战员工资福利、伙食费、公用经费等支出。比2023年度决算数减少46.55万元，降低14.32%，主要原因为2023年补发指战员以前年度绩效奖导致。</w:t>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黑体_GBK" w:cs="Times New Roman"/>
          <w:b w:val="0"/>
          <w:bCs w:val="0"/>
          <w:sz w:val="32"/>
          <w:szCs w:val="32"/>
          <w:lang w:val="en-US" w:eastAsia="zh-CN"/>
        </w:rPr>
      </w:pPr>
      <w:r>
        <w:rPr>
          <w:rFonts w:hint="eastAsia" w:eastAsia="方正仿宋_GBK" w:cs="Times New Roman"/>
          <w:sz w:val="32"/>
          <w:szCs w:val="32"/>
          <w:lang w:val="en-US" w:eastAsia="zh-CN"/>
        </w:rPr>
        <w:t>年末结转和结余（类）35.82万元。主要为指战员绩效、公用经费等款。比2023年度决算数降低44.85万元，降低55.60%，主要原因是2023年底部分指战员补发绩效未发放。</w:t>
      </w:r>
    </w:p>
    <w:p>
      <w:pPr>
        <w:keepNext w:val="0"/>
        <w:keepLines w:val="0"/>
        <w:pageBreakBefore w:val="0"/>
        <w:numPr>
          <w:ilvl w:val="0"/>
          <w:numId w:val="2"/>
        </w:numPr>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eastAsia" w:eastAsia="方正黑体_GBK" w:cs="Times New Roman"/>
          <w:b w:val="0"/>
          <w:bCs w:val="0"/>
          <w:sz w:val="32"/>
          <w:szCs w:val="32"/>
          <w:lang w:val="en-US" w:eastAsia="zh-CN"/>
        </w:rPr>
      </w:pPr>
      <w:r>
        <w:rPr>
          <w:rFonts w:hint="eastAsia" w:eastAsia="方正黑体_GBK" w:cs="Times New Roman"/>
          <w:b w:val="0"/>
          <w:bCs w:val="0"/>
          <w:sz w:val="32"/>
          <w:szCs w:val="32"/>
          <w:lang w:val="en-US" w:eastAsia="zh-CN"/>
        </w:rPr>
        <w:t>一般公共预算财政拨款支出情况说明</w:t>
      </w:r>
    </w:p>
    <w:p>
      <w:pPr>
        <w:pStyle w:val="2"/>
        <w:numPr>
          <w:ilvl w:val="0"/>
          <w:numId w:val="0"/>
        </w:numPr>
        <w:ind w:firstLine="640" w:firstLineChars="200"/>
        <w:rPr>
          <w:rFonts w:hint="eastAsia" w:eastAsia="方正仿宋_GBK" w:cs="Times New Roman"/>
          <w:sz w:val="32"/>
          <w:szCs w:val="32"/>
          <w:lang w:val="en-US" w:eastAsia="zh-CN"/>
        </w:rPr>
      </w:pPr>
      <w:r>
        <w:rPr>
          <w:rFonts w:hint="eastAsia" w:eastAsia="方正仿宋_GBK" w:cs="Times New Roman"/>
          <w:sz w:val="32"/>
          <w:szCs w:val="32"/>
          <w:lang w:val="en-US" w:eastAsia="zh-CN"/>
        </w:rPr>
        <w:t>2024年度一般公共预算财政拨款支出33.86万元，具体情况如下（图3）：</w:t>
      </w:r>
    </w:p>
    <w:p>
      <w:pPr>
        <w:pStyle w:val="2"/>
        <w:numPr>
          <w:ilvl w:val="0"/>
          <w:numId w:val="0"/>
        </w:numPr>
        <w:spacing w:line="240" w:lineRule="auto"/>
        <w:ind w:firstLine="640" w:firstLineChars="200"/>
        <w:rPr>
          <w:rFonts w:hint="default" w:eastAsia="方正仿宋_GBK" w:cs="Times New Roman"/>
          <w:sz w:val="32"/>
          <w:szCs w:val="32"/>
          <w:lang w:val="en-US" w:eastAsia="zh-CN"/>
        </w:rPr>
      </w:pPr>
      <w:r>
        <w:rPr>
          <w:rFonts w:hint="default" w:eastAsia="方正仿宋_GBK" w:cs="Times New Roman"/>
          <w:sz w:val="32"/>
          <w:szCs w:val="32"/>
          <w:lang w:val="en-US" w:eastAsia="zh-CN"/>
        </w:rPr>
        <w:drawing>
          <wp:inline distT="0" distB="0" distL="114300" distR="114300">
            <wp:extent cx="4838700" cy="2758440"/>
            <wp:effectExtent l="0" t="0" r="7620" b="0"/>
            <wp:docPr id="56" name="图片 56" descr="a529a8d4-236d-4e3c-9433-84c8ca21e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a529a8d4-236d-4e3c-9433-84c8ca21e395"/>
                    <pic:cNvPicPr>
                      <a:picLocks noChangeAspect="1"/>
                    </pic:cNvPicPr>
                  </pic:nvPicPr>
                  <pic:blipFill>
                    <a:blip r:embed="rId20"/>
                    <a:stretch>
                      <a:fillRect/>
                    </a:stretch>
                  </pic:blipFill>
                  <pic:spPr>
                    <a:xfrm>
                      <a:off x="0" y="0"/>
                      <a:ext cx="4838700" cy="27584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1</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财政拨款支出决算总体情况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仿宋_GBK" w:cs="Times New Roman"/>
          <w:color w:val="auto"/>
          <w:kern w:val="0"/>
          <w:sz w:val="32"/>
          <w:szCs w:val="32"/>
          <w:lang w:val="en-US" w:eastAsia="zh-CN"/>
        </w:rPr>
      </w:pPr>
      <w:r>
        <w:rPr>
          <w:rFonts w:hint="eastAsia" w:eastAsia="方正仿宋_GBK" w:cs="Times New Roman"/>
          <w:color w:val="auto"/>
          <w:kern w:val="0"/>
          <w:sz w:val="32"/>
          <w:szCs w:val="32"/>
          <w:lang w:eastAsia="zh-CN"/>
        </w:rPr>
        <w:t>2024年度</w:t>
      </w:r>
      <w:r>
        <w:rPr>
          <w:rFonts w:hint="default" w:ascii="Times New Roman" w:hAnsi="Times New Roman" w:eastAsia="方正仿宋_GBK" w:cs="Times New Roman"/>
          <w:color w:val="auto"/>
          <w:kern w:val="0"/>
          <w:sz w:val="32"/>
          <w:szCs w:val="32"/>
        </w:rPr>
        <w:t>财政拨款支出</w:t>
      </w:r>
      <w:r>
        <w:rPr>
          <w:rFonts w:hint="eastAsia" w:eastAsia="方正仿宋_GBK" w:cs="Times New Roman"/>
          <w:color w:val="auto"/>
          <w:sz w:val="32"/>
          <w:szCs w:val="32"/>
          <w:lang w:val="en-US" w:eastAsia="zh-CN"/>
        </w:rPr>
        <w:t>33.86</w:t>
      </w:r>
      <w:r>
        <w:rPr>
          <w:rFonts w:hint="default" w:ascii="Times New Roman" w:hAnsi="Times New Roman" w:eastAsia="方正仿宋_GBK" w:cs="Times New Roman"/>
          <w:color w:val="auto"/>
          <w:kern w:val="0"/>
          <w:sz w:val="32"/>
          <w:szCs w:val="32"/>
        </w:rPr>
        <w:t>万元</w:t>
      </w:r>
      <w:r>
        <w:rPr>
          <w:rFonts w:hint="default" w:ascii="Times New Roman" w:hAnsi="Times New Roman" w:eastAsia="方正仿宋_GBK" w:cs="Times New Roman"/>
          <w:color w:val="auto"/>
          <w:kern w:val="0"/>
          <w:sz w:val="32"/>
          <w:szCs w:val="32"/>
          <w:highlight w:val="none"/>
        </w:rPr>
        <w:t>，占本年支出的</w:t>
      </w:r>
      <w:r>
        <w:rPr>
          <w:rFonts w:hint="eastAsia" w:eastAsia="方正仿宋_GBK" w:cs="Times New Roman"/>
          <w:color w:val="auto"/>
          <w:kern w:val="0"/>
          <w:sz w:val="32"/>
          <w:szCs w:val="32"/>
          <w:highlight w:val="none"/>
          <w:lang w:val="en-US" w:eastAsia="zh-CN"/>
        </w:rPr>
        <w:t>12.15</w:t>
      </w:r>
      <w:r>
        <w:rPr>
          <w:rFonts w:hint="default" w:ascii="Times New Roman" w:hAnsi="Times New Roman" w:eastAsia="方正仿宋_GBK" w:cs="Times New Roman"/>
          <w:color w:val="auto"/>
          <w:kern w:val="0"/>
          <w:sz w:val="32"/>
          <w:szCs w:val="32"/>
          <w:highlight w:val="none"/>
        </w:rPr>
        <w:t>％。与</w:t>
      </w:r>
      <w:r>
        <w:rPr>
          <w:rFonts w:hint="eastAsia" w:eastAsia="方正仿宋_GBK" w:cs="Times New Roman"/>
          <w:color w:val="auto"/>
          <w:kern w:val="0"/>
          <w:sz w:val="32"/>
          <w:szCs w:val="32"/>
          <w:highlight w:val="none"/>
          <w:lang w:eastAsia="zh-CN"/>
        </w:rPr>
        <w:t>202</w:t>
      </w:r>
      <w:r>
        <w:rPr>
          <w:rFonts w:hint="eastAsia" w:eastAsia="方正仿宋_GBK" w:cs="Times New Roman"/>
          <w:color w:val="auto"/>
          <w:kern w:val="0"/>
          <w:sz w:val="32"/>
          <w:szCs w:val="32"/>
          <w:highlight w:val="none"/>
          <w:lang w:val="en-US" w:eastAsia="zh-CN"/>
        </w:rPr>
        <w:t>3</w:t>
      </w:r>
      <w:r>
        <w:rPr>
          <w:rFonts w:hint="eastAsia" w:eastAsia="方正仿宋_GBK" w:cs="Times New Roman"/>
          <w:color w:val="auto"/>
          <w:kern w:val="0"/>
          <w:sz w:val="32"/>
          <w:szCs w:val="32"/>
          <w:highlight w:val="none"/>
          <w:lang w:eastAsia="zh-CN"/>
        </w:rPr>
        <w:t>年度</w:t>
      </w:r>
      <w:r>
        <w:rPr>
          <w:rFonts w:hint="default" w:ascii="Times New Roman" w:hAnsi="Times New Roman" w:eastAsia="方正仿宋_GBK" w:cs="Times New Roman"/>
          <w:color w:val="auto"/>
          <w:kern w:val="0"/>
          <w:sz w:val="32"/>
          <w:szCs w:val="32"/>
          <w:highlight w:val="none"/>
        </w:rPr>
        <w:t>相比，财政拨款支出</w:t>
      </w:r>
      <w:r>
        <w:rPr>
          <w:rFonts w:hint="eastAsia" w:eastAsia="方正仿宋_GBK" w:cs="Times New Roman"/>
          <w:color w:val="auto"/>
          <w:kern w:val="0"/>
          <w:sz w:val="32"/>
          <w:szCs w:val="32"/>
          <w:highlight w:val="none"/>
          <w:lang w:val="en-US" w:eastAsia="zh-CN"/>
        </w:rPr>
        <w:t>增加3.86</w:t>
      </w:r>
      <w:r>
        <w:rPr>
          <w:rFonts w:hint="default" w:ascii="Times New Roman" w:hAnsi="Times New Roman" w:eastAsia="方正仿宋_GBK" w:cs="Times New Roman"/>
          <w:color w:val="auto"/>
          <w:kern w:val="0"/>
          <w:sz w:val="32"/>
          <w:szCs w:val="32"/>
          <w:highlight w:val="none"/>
        </w:rPr>
        <w:t>万元，</w:t>
      </w:r>
      <w:r>
        <w:rPr>
          <w:rFonts w:hint="eastAsia" w:eastAsia="方正仿宋_GBK" w:cs="Times New Roman"/>
          <w:color w:val="auto"/>
          <w:kern w:val="0"/>
          <w:sz w:val="32"/>
          <w:szCs w:val="32"/>
          <w:highlight w:val="none"/>
          <w:lang w:val="en-US" w:eastAsia="zh-CN"/>
        </w:rPr>
        <w:t>增加12.87</w:t>
      </w:r>
      <w:r>
        <w:rPr>
          <w:rFonts w:hint="default" w:ascii="Times New Roman" w:hAnsi="Times New Roman" w:eastAsia="方正仿宋_GBK" w:cs="Times New Roman"/>
          <w:color w:val="auto"/>
          <w:kern w:val="0"/>
          <w:sz w:val="32"/>
          <w:szCs w:val="32"/>
          <w:highlight w:val="none"/>
        </w:rPr>
        <w:t>％，</w:t>
      </w:r>
      <w:r>
        <w:rPr>
          <w:rFonts w:hint="eastAsia" w:eastAsia="方正仿宋_GBK" w:cs="Times New Roman"/>
          <w:color w:val="auto"/>
          <w:kern w:val="0"/>
          <w:sz w:val="32"/>
          <w:szCs w:val="32"/>
          <w:lang w:val="en-US" w:eastAsia="zh-CN"/>
        </w:rPr>
        <w:t>主要为人员增加，伙食费增加</w:t>
      </w:r>
      <w:r>
        <w:rPr>
          <w:rFonts w:hint="default" w:ascii="Times New Roman" w:hAnsi="Times New Roman" w:eastAsia="方正仿宋_GBK" w:cs="Times New Roman"/>
          <w:color w:val="auto"/>
          <w:kern w:val="0"/>
          <w:sz w:val="32"/>
          <w:szCs w:val="32"/>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2</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结构</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eastAsia="方正仿宋_GBK" w:cs="Times New Roman"/>
          <w:color w:val="000000" w:themeColor="text1"/>
          <w:kern w:val="0"/>
          <w:sz w:val="32"/>
          <w:szCs w:val="32"/>
          <w:lang w:val="en-US" w:eastAsia="zh-CN"/>
          <w14:textFill>
            <w14:solidFill>
              <w14:schemeClr w14:val="tx1"/>
            </w14:solidFill>
          </w14:textFill>
        </w:rPr>
      </w:pPr>
      <w:r>
        <w:rPr>
          <w:rFonts w:hint="eastAsia" w:eastAsia="方正仿宋_GBK" w:cs="Times New Roman"/>
          <w:color w:val="000000" w:themeColor="text1"/>
          <w:kern w:val="0"/>
          <w:sz w:val="32"/>
          <w:szCs w:val="32"/>
          <w:lang w:eastAsia="zh-CN"/>
          <w14:textFill>
            <w14:solidFill>
              <w14:schemeClr w14:val="tx1"/>
            </w14:solidFill>
          </w14:textFill>
        </w:rPr>
        <w:t>2024年度</w:t>
      </w:r>
      <w:r>
        <w:rPr>
          <w:rFonts w:hint="default" w:ascii="Times New Roman" w:hAnsi="Times New Roman" w:eastAsia="方正仿宋_GBK" w:cs="Times New Roman"/>
          <w:color w:val="000000" w:themeColor="text1"/>
          <w:kern w:val="0"/>
          <w:sz w:val="32"/>
          <w:szCs w:val="32"/>
          <w14:textFill>
            <w14:solidFill>
              <w14:schemeClr w14:val="tx1"/>
            </w14:solidFill>
          </w14:textFill>
        </w:rPr>
        <w:t>财政拨款支出</w:t>
      </w:r>
      <w:r>
        <w:rPr>
          <w:rFonts w:hint="eastAsia" w:eastAsia="方正仿宋_GBK" w:cs="Times New Roman"/>
          <w:color w:val="000000" w:themeColor="text1"/>
          <w:kern w:val="0"/>
          <w:sz w:val="32"/>
          <w:szCs w:val="32"/>
          <w:lang w:val="en-US" w:eastAsia="zh-CN"/>
          <w14:textFill>
            <w14:solidFill>
              <w14:schemeClr w14:val="tx1"/>
            </w14:solidFill>
          </w14:textFill>
        </w:rPr>
        <w:t>33.86</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万元，主要用于以下方面：灾害防治及应急管理（类）支出</w:t>
      </w:r>
      <w:r>
        <w:rPr>
          <w:rFonts w:hint="eastAsia" w:eastAsia="方正仿宋_GBK" w:cs="Times New Roman"/>
          <w:color w:val="000000" w:themeColor="text1"/>
          <w:kern w:val="0"/>
          <w:sz w:val="32"/>
          <w:szCs w:val="32"/>
          <w:lang w:val="en-US" w:eastAsia="zh-CN"/>
          <w14:textFill>
            <w14:solidFill>
              <w14:schemeClr w14:val="tx1"/>
            </w14:solidFill>
          </w14:textFill>
        </w:rPr>
        <w:t>33.86</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万元，占</w:t>
      </w:r>
      <w:r>
        <w:rPr>
          <w:rFonts w:hint="eastAsia" w:eastAsia="方正仿宋_GBK" w:cs="Times New Roman"/>
          <w:color w:val="000000" w:themeColor="text1"/>
          <w:kern w:val="0"/>
          <w:sz w:val="32"/>
          <w:szCs w:val="32"/>
          <w:lang w:val="en-US" w:eastAsia="zh-CN"/>
          <w14:textFill>
            <w14:solidFill>
              <w14:schemeClr w14:val="tx1"/>
            </w14:solidFill>
          </w14:textFill>
        </w:rPr>
        <w:t>100.00</w:t>
      </w:r>
      <w:r>
        <w:rPr>
          <w:rFonts w:hint="default" w:ascii="Times New Roman" w:hAnsi="Times New Roman" w:eastAsia="方正仿宋_GBK" w:cs="Times New Roman"/>
          <w:color w:val="000000" w:themeColor="text1"/>
          <w:kern w:val="0"/>
          <w:sz w:val="32"/>
          <w:szCs w:val="32"/>
          <w14:textFill>
            <w14:solidFill>
              <w14:schemeClr w14:val="tx1"/>
            </w14:solidFill>
          </w14:textFill>
        </w:rPr>
        <w:t>％</w:t>
      </w:r>
      <w:r>
        <w:rPr>
          <w:rFonts w:hint="eastAsia" w:eastAsia="方正仿宋_GBK" w:cs="Times New Roman"/>
          <w:color w:val="000000" w:themeColor="text1"/>
          <w:kern w:val="0"/>
          <w:sz w:val="32"/>
          <w:szCs w:val="32"/>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3</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具体</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highlight w:val="none"/>
          <w:lang w:val="en-US" w:eastAsia="zh-CN" w:bidi="ar-SA"/>
        </w:rPr>
      </w:pPr>
      <w:r>
        <w:rPr>
          <w:rFonts w:hint="eastAsia" w:eastAsia="方正仿宋_GBK" w:cs="Times New Roman"/>
          <w:color w:val="000000" w:themeColor="text1"/>
          <w:kern w:val="0"/>
          <w:sz w:val="32"/>
          <w:szCs w:val="32"/>
          <w:lang w:val="en-US" w:eastAsia="zh-CN" w:bidi="ar-SA"/>
          <w14:textFill>
            <w14:solidFill>
              <w14:schemeClr w14:val="tx1"/>
            </w14:solidFill>
          </w14:textFill>
        </w:rPr>
        <w:t>2024年度</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财政拨款支出</w:t>
      </w:r>
      <w:r>
        <w:rPr>
          <w:rFonts w:hint="eastAsia" w:ascii="Times New Roman" w:hAnsi="Times New Roman" w:eastAsia="方正仿宋_GBK" w:cs="Times New Roman"/>
          <w:color w:val="000000" w:themeColor="text1"/>
          <w:kern w:val="0"/>
          <w:sz w:val="32"/>
          <w:szCs w:val="32"/>
          <w:highlight w:val="none"/>
          <w:lang w:val="en-US" w:eastAsia="zh-CN" w:bidi="ar-SA"/>
          <w14:textFill>
            <w14:solidFill>
              <w14:schemeClr w14:val="tx1"/>
            </w14:solidFill>
          </w14:textFill>
        </w:rPr>
        <w:t>年初预算</w:t>
      </w:r>
      <w:r>
        <w:rPr>
          <w:rFonts w:hint="eastAsia" w:ascii="Times New Roman" w:hAnsi="Times New Roman" w:eastAsia="方正仿宋_GBK" w:cs="Times New Roman"/>
          <w:color w:val="auto"/>
          <w:kern w:val="0"/>
          <w:sz w:val="32"/>
          <w:szCs w:val="32"/>
          <w:highlight w:val="none"/>
          <w:lang w:val="en-US" w:eastAsia="zh-CN" w:bidi="ar-SA"/>
        </w:rPr>
        <w:t>为</w:t>
      </w:r>
      <w:r>
        <w:rPr>
          <w:rFonts w:hint="eastAsia" w:eastAsia="方正仿宋_GBK" w:cs="Times New Roman"/>
          <w:color w:val="auto"/>
          <w:kern w:val="0"/>
          <w:sz w:val="32"/>
          <w:szCs w:val="32"/>
          <w:highlight w:val="none"/>
          <w:lang w:val="en-US" w:eastAsia="zh-CN" w:bidi="ar-SA"/>
        </w:rPr>
        <w:t>33.86</w:t>
      </w:r>
      <w:r>
        <w:rPr>
          <w:rFonts w:hint="eastAsia" w:ascii="Times New Roman" w:hAnsi="Times New Roman" w:eastAsia="方正仿宋_GBK" w:cs="Times New Roman"/>
          <w:color w:val="auto"/>
          <w:kern w:val="0"/>
          <w:sz w:val="32"/>
          <w:szCs w:val="32"/>
          <w:highlight w:val="none"/>
          <w:lang w:val="en-US" w:eastAsia="zh-CN" w:bidi="ar-SA"/>
        </w:rPr>
        <w:t>万元，支出决算为</w:t>
      </w:r>
      <w:r>
        <w:rPr>
          <w:rFonts w:hint="eastAsia" w:eastAsia="方正仿宋_GBK" w:cs="Times New Roman"/>
          <w:color w:val="auto"/>
          <w:kern w:val="0"/>
          <w:sz w:val="32"/>
          <w:szCs w:val="32"/>
          <w:highlight w:val="none"/>
          <w:lang w:val="en-US" w:eastAsia="zh-CN" w:bidi="ar-SA"/>
        </w:rPr>
        <w:t>33.86</w:t>
      </w:r>
      <w:r>
        <w:rPr>
          <w:rFonts w:hint="eastAsia" w:ascii="Times New Roman" w:hAnsi="Times New Roman" w:eastAsia="方正仿宋_GBK" w:cs="Times New Roman"/>
          <w:color w:val="auto"/>
          <w:kern w:val="0"/>
          <w:sz w:val="32"/>
          <w:szCs w:val="32"/>
          <w:highlight w:val="none"/>
          <w:lang w:val="en-US" w:eastAsia="zh-CN" w:bidi="ar-SA"/>
        </w:rPr>
        <w:t>万元，完成年初预算的</w:t>
      </w:r>
      <w:r>
        <w:rPr>
          <w:rFonts w:hint="eastAsia" w:eastAsia="方正仿宋_GBK" w:cs="Times New Roman"/>
          <w:color w:val="auto"/>
          <w:kern w:val="0"/>
          <w:sz w:val="32"/>
          <w:szCs w:val="32"/>
          <w:highlight w:val="none"/>
          <w:lang w:val="en-US" w:eastAsia="zh-CN" w:bidi="ar-SA"/>
        </w:rPr>
        <w:t>100.00</w:t>
      </w:r>
      <w:r>
        <w:rPr>
          <w:rFonts w:hint="eastAsia" w:ascii="Times New Roman" w:hAnsi="Times New Roman" w:eastAsia="方正仿宋_GBK" w:cs="Times New Roman"/>
          <w:color w:val="auto"/>
          <w:kern w:val="0"/>
          <w:sz w:val="32"/>
          <w:szCs w:val="32"/>
          <w:highlight w:val="none"/>
          <w:lang w:val="en-US" w:eastAsia="zh-CN" w:bidi="ar-SA"/>
        </w:rPr>
        <w:t>％。其中：</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lang w:val="en-US" w:eastAsia="zh-CN" w:bidi="ar-SA"/>
        </w:rPr>
      </w:pPr>
      <w:r>
        <w:rPr>
          <w:rFonts w:hint="eastAsia" w:eastAsia="方正仿宋_GBK" w:cs="Times New Roman"/>
          <w:b/>
          <w:bCs/>
          <w:color w:val="auto"/>
          <w:kern w:val="0"/>
          <w:sz w:val="32"/>
          <w:szCs w:val="32"/>
          <w:highlight w:val="none"/>
          <w:lang w:val="en-US" w:eastAsia="zh-CN" w:bidi="ar-SA"/>
        </w:rPr>
        <w:t>1</w:t>
      </w:r>
      <w:r>
        <w:rPr>
          <w:rFonts w:hint="eastAsia" w:ascii="Times New Roman" w:hAnsi="Times New Roman" w:eastAsia="方正仿宋_GBK" w:cs="Times New Roman"/>
          <w:b/>
          <w:bCs/>
          <w:color w:val="auto"/>
          <w:kern w:val="0"/>
          <w:sz w:val="32"/>
          <w:szCs w:val="32"/>
          <w:highlight w:val="none"/>
          <w:lang w:val="en-US" w:eastAsia="zh-CN" w:bidi="ar-SA"/>
        </w:rPr>
        <w:t>．</w:t>
      </w:r>
      <w:r>
        <w:rPr>
          <w:rFonts w:hint="eastAsia" w:ascii="Times New Roman" w:hAnsi="Times New Roman" w:eastAsia="方正仿宋_GBK" w:cs="Times New Roman"/>
          <w:b/>
          <w:bCs/>
          <w:color w:val="auto"/>
          <w:kern w:val="0"/>
          <w:sz w:val="32"/>
          <w:szCs w:val="32"/>
          <w:lang w:val="en-US" w:eastAsia="zh-CN" w:bidi="ar-SA"/>
        </w:rPr>
        <w:t>灾害防治及应急管理（类）消防事务（款）消防应急救援（项）。</w:t>
      </w:r>
      <w:r>
        <w:rPr>
          <w:rFonts w:hint="eastAsia" w:ascii="Times New Roman" w:hAnsi="Times New Roman" w:eastAsia="方正仿宋_GBK" w:cs="Times New Roman"/>
          <w:color w:val="auto"/>
          <w:kern w:val="0"/>
          <w:sz w:val="32"/>
          <w:szCs w:val="32"/>
          <w:lang w:val="en-US" w:eastAsia="zh-CN" w:bidi="ar-SA"/>
        </w:rPr>
        <w:t>年初预算为</w:t>
      </w:r>
      <w:r>
        <w:rPr>
          <w:rFonts w:hint="eastAsia" w:eastAsia="方正仿宋_GBK" w:cs="Times New Roman"/>
          <w:color w:val="auto"/>
          <w:kern w:val="0"/>
          <w:sz w:val="32"/>
          <w:szCs w:val="32"/>
          <w:lang w:val="en-US" w:eastAsia="zh-CN" w:bidi="ar-SA"/>
        </w:rPr>
        <w:t>33.86</w:t>
      </w:r>
      <w:r>
        <w:rPr>
          <w:rFonts w:hint="eastAsia" w:ascii="Times New Roman" w:hAnsi="Times New Roman" w:eastAsia="方正仿宋_GBK" w:cs="Times New Roman"/>
          <w:color w:val="auto"/>
          <w:kern w:val="0"/>
          <w:sz w:val="32"/>
          <w:szCs w:val="32"/>
          <w:lang w:val="en-US" w:eastAsia="zh-CN" w:bidi="ar-SA"/>
        </w:rPr>
        <w:t>万元，支出决算为</w:t>
      </w:r>
      <w:r>
        <w:rPr>
          <w:rFonts w:hint="eastAsia" w:eastAsia="方正仿宋_GBK" w:cs="Times New Roman"/>
          <w:color w:val="auto"/>
          <w:kern w:val="0"/>
          <w:sz w:val="32"/>
          <w:szCs w:val="32"/>
          <w:lang w:val="en-US" w:eastAsia="zh-CN" w:bidi="ar-SA"/>
        </w:rPr>
        <w:t>33.86</w:t>
      </w:r>
      <w:r>
        <w:rPr>
          <w:rFonts w:hint="eastAsia" w:ascii="Times New Roman" w:hAnsi="Times New Roman" w:eastAsia="方正仿宋_GBK" w:cs="Times New Roman"/>
          <w:color w:val="auto"/>
          <w:kern w:val="0"/>
          <w:sz w:val="32"/>
          <w:szCs w:val="32"/>
          <w:lang w:val="en-US" w:eastAsia="zh-CN" w:bidi="ar-SA"/>
        </w:rPr>
        <w:t>万元，完成年初预算的</w:t>
      </w:r>
      <w:r>
        <w:rPr>
          <w:rFonts w:hint="eastAsia" w:eastAsia="方正仿宋_GBK" w:cs="Times New Roman"/>
          <w:color w:val="auto"/>
          <w:kern w:val="0"/>
          <w:sz w:val="32"/>
          <w:szCs w:val="32"/>
          <w:lang w:val="en-US" w:eastAsia="zh-CN" w:bidi="ar-SA"/>
        </w:rPr>
        <w:t>100</w:t>
      </w:r>
      <w:r>
        <w:rPr>
          <w:rFonts w:hint="eastAsia" w:ascii="Times New Roman" w:hAnsi="Times New Roman" w:eastAsia="方正仿宋_GBK" w:cs="Times New Roman"/>
          <w:color w:val="auto"/>
          <w:kern w:val="0"/>
          <w:sz w:val="32"/>
          <w:szCs w:val="32"/>
          <w:lang w:val="en-US" w:eastAsia="zh-CN" w:bidi="ar-SA"/>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eastAsia" w:eastAsia="方正黑体_GBK" w:cs="Times New Roman"/>
          <w:b w:val="0"/>
          <w:bCs w:val="0"/>
          <w:sz w:val="32"/>
          <w:szCs w:val="32"/>
          <w:lang w:val="en-US" w:eastAsia="zh-CN"/>
        </w:rPr>
        <w:t>三</w:t>
      </w:r>
      <w:r>
        <w:rPr>
          <w:rFonts w:hint="default" w:ascii="Times New Roman" w:hAnsi="Times New Roman" w:eastAsia="方正黑体_GBK" w:cs="Times New Roman"/>
          <w:b w:val="0"/>
          <w:bCs w:val="0"/>
          <w:sz w:val="32"/>
          <w:szCs w:val="32"/>
        </w:rPr>
        <w:t>、一般公共预算</w:t>
      </w:r>
      <w:r>
        <w:rPr>
          <w:rFonts w:hint="eastAsia" w:eastAsia="方正黑体_GBK" w:cs="Times New Roman"/>
          <w:b w:val="0"/>
          <w:bCs w:val="0"/>
          <w:sz w:val="32"/>
          <w:szCs w:val="32"/>
          <w:lang w:eastAsia="zh-CN"/>
        </w:rPr>
        <w:t>财政拨款</w:t>
      </w:r>
      <w:r>
        <w:rPr>
          <w:rFonts w:hint="default" w:ascii="Times New Roman" w:hAnsi="Times New Roman" w:eastAsia="方正黑体_GBK" w:cs="Times New Roman"/>
          <w:b w:val="0"/>
          <w:bCs w:val="0"/>
          <w:sz w:val="32"/>
          <w:szCs w:val="32"/>
        </w:rPr>
        <w:t>基本支出</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情况说明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财政拨款基本支出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全部在支队本级进行统一核算</w:t>
      </w:r>
      <w:r>
        <w:rPr>
          <w:rFonts w:hint="default" w:ascii="Times New Roman" w:hAnsi="Times New Roman"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highlight w:val="none"/>
        </w:rPr>
      </w:pPr>
      <w:r>
        <w:rPr>
          <w:rFonts w:hint="eastAsia" w:eastAsia="方正黑体_GBK" w:cs="Times New Roman"/>
          <w:b w:val="0"/>
          <w:bCs w:val="0"/>
          <w:sz w:val="32"/>
          <w:szCs w:val="32"/>
          <w:highlight w:val="none"/>
          <w:lang w:val="en-US" w:eastAsia="zh-CN"/>
        </w:rPr>
        <w:t>四</w:t>
      </w:r>
      <w:r>
        <w:rPr>
          <w:rFonts w:hint="default" w:ascii="Times New Roman" w:hAnsi="Times New Roman" w:eastAsia="方正黑体_GBK" w:cs="Times New Roman"/>
          <w:b w:val="0"/>
          <w:bCs w:val="0"/>
          <w:sz w:val="32"/>
          <w:szCs w:val="32"/>
          <w:highlight w:val="none"/>
        </w:rPr>
        <w:t>、</w:t>
      </w:r>
      <w:r>
        <w:rPr>
          <w:rFonts w:hint="eastAsia" w:eastAsia="方正黑体_GBK" w:cs="Times New Roman"/>
          <w:b w:val="0"/>
          <w:bCs w:val="0"/>
          <w:sz w:val="32"/>
          <w:szCs w:val="32"/>
          <w:highlight w:val="none"/>
          <w:lang w:eastAsia="zh-CN"/>
        </w:rPr>
        <w:t>一般公共预算财政拨款</w:t>
      </w:r>
      <w:r>
        <w:rPr>
          <w:rFonts w:hint="default" w:ascii="Times New Roman" w:hAnsi="Times New Roman" w:eastAsia="方正黑体_GBK" w:cs="Times New Roman"/>
          <w:b w:val="0"/>
          <w:bCs w:val="0"/>
          <w:sz w:val="32"/>
          <w:szCs w:val="32"/>
          <w:highlight w:val="none"/>
        </w:rPr>
        <w:t>“三公”经费</w:t>
      </w:r>
      <w:r>
        <w:rPr>
          <w:rFonts w:hint="eastAsia" w:eastAsia="方正黑体_GBK" w:cs="Times New Roman"/>
          <w:b w:val="0"/>
          <w:bCs w:val="0"/>
          <w:sz w:val="32"/>
          <w:szCs w:val="32"/>
          <w:highlight w:val="none"/>
          <w:lang w:eastAsia="zh-CN"/>
        </w:rPr>
        <w:t>支出决算</w:t>
      </w:r>
      <w:r>
        <w:rPr>
          <w:rFonts w:hint="default" w:ascii="Times New Roman" w:hAnsi="Times New Roman" w:eastAsia="方正黑体_GBK" w:cs="Times New Roman"/>
          <w:b w:val="0"/>
          <w:bCs w:val="0"/>
          <w:sz w:val="32"/>
          <w:szCs w:val="32"/>
          <w:highlight w:val="none"/>
        </w:rPr>
        <w:t>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（一）“三公”经费财政拨款支出决算总体情况说明。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“三公”经费财政拨款支出预算为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全部在支队本级进行统一核算。</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楷体_GB2312" w:hAnsi="楷体_GB2312" w:eastAsia="楷体_GB2312" w:cs="楷体_GB2312"/>
          <w:b/>
          <w:bCs/>
          <w:kern w:val="2"/>
          <w:sz w:val="32"/>
          <w:szCs w:val="32"/>
          <w:highlight w:val="none"/>
          <w:lang w:val="en-US" w:eastAsia="zh-CN" w:bidi="ar-SA"/>
        </w:rPr>
      </w:pPr>
      <w:r>
        <w:rPr>
          <w:rFonts w:hint="default" w:ascii="楷体_GB2312" w:hAnsi="楷体_GB2312" w:eastAsia="楷体_GB2312" w:cs="楷体_GB2312"/>
          <w:b/>
          <w:bCs/>
          <w:kern w:val="2"/>
          <w:sz w:val="32"/>
          <w:szCs w:val="32"/>
          <w:highlight w:val="none"/>
          <w:lang w:val="en-US" w:eastAsia="zh-CN" w:bidi="ar-SA"/>
        </w:rPr>
        <w:t>（二）“三公”经费财政拨款支出决算具体情况说明</w:t>
      </w:r>
      <w:r>
        <w:rPr>
          <w:rFonts w:hint="eastAsia" w:ascii="楷体_GB2312" w:hAnsi="楷体_GB2312" w:eastAsia="楷体_GB2312" w:cs="楷体_GB2312"/>
          <w:b/>
          <w:bCs/>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1．因公出国（境）费预算为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万元，支出决算为0万元。</w:t>
      </w:r>
      <w:r>
        <w:rPr>
          <w:rFonts w:hint="eastAsia" w:eastAsia="方正仿宋_GBK" w:cs="Times New Roman"/>
          <w:kern w:val="2"/>
          <w:sz w:val="32"/>
          <w:szCs w:val="32"/>
          <w:highlight w:val="none"/>
          <w:lang w:val="en-US" w:eastAsia="zh-CN" w:bidi="ar-SA"/>
        </w:rPr>
        <w:t>总队无对</w:t>
      </w:r>
      <w:r>
        <w:rPr>
          <w:rFonts w:hint="default" w:ascii="Times New Roman" w:hAnsi="Times New Roman" w:eastAsia="方正仿宋_GBK" w:cs="Times New Roman"/>
          <w:kern w:val="2"/>
          <w:sz w:val="32"/>
          <w:szCs w:val="32"/>
          <w:highlight w:val="none"/>
          <w:lang w:val="en-US" w:eastAsia="zh-CN" w:bidi="ar-SA"/>
        </w:rPr>
        <w:t>外交流工作计划。</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2．公务用车购置及运行费预算为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全部在支队本级进行统一核算</w:t>
      </w:r>
      <w:r>
        <w:rPr>
          <w:rFonts w:hint="default" w:ascii="Times New Roman" w:hAnsi="Times New Roman" w:eastAsia="方正仿宋_GBK" w:cs="Times New Roman"/>
          <w:color w:val="auto"/>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3．公务接待费预算为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p>
    <w:p>
      <w:pPr>
        <w:pStyle w:val="3"/>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eastAsia" w:ascii="Times New Roman" w:hAnsi="Times New Roman" w:eastAsia="方正黑体_GBK" w:cs="Times New Roman"/>
          <w:b w:val="0"/>
          <w:bCs w:val="0"/>
          <w:kern w:val="2"/>
          <w:sz w:val="32"/>
          <w:szCs w:val="32"/>
          <w:highlight w:val="none"/>
          <w:lang w:val="en-US" w:eastAsia="zh-CN" w:bidi="ar-SA"/>
        </w:rPr>
        <w:t>五、</w:t>
      </w:r>
      <w:r>
        <w:rPr>
          <w:rFonts w:hint="default" w:ascii="Times New Roman" w:hAnsi="Times New Roman" w:eastAsia="方正黑体_GBK" w:cs="Times New Roman"/>
          <w:b w:val="0"/>
          <w:bCs w:val="0"/>
          <w:kern w:val="2"/>
          <w:sz w:val="32"/>
          <w:szCs w:val="32"/>
          <w:highlight w:val="none"/>
          <w:lang w:val="en-US" w:eastAsia="zh-CN" w:bidi="ar-SA"/>
        </w:rPr>
        <w:t>政府性基金预算财政拨款收支情况说明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黑体_GBK" w:cs="Times New Roman"/>
          <w:b w:val="0"/>
          <w:bCs w:val="0"/>
          <w:kern w:val="2"/>
          <w:sz w:val="32"/>
          <w:szCs w:val="32"/>
          <w:highlight w:val="none"/>
          <w:lang w:val="en-US" w:eastAsia="zh-CN" w:bidi="ar-SA"/>
        </w:rPr>
        <w:t xml:space="preserve">    </w:t>
      </w:r>
      <w:r>
        <w:rPr>
          <w:rFonts w:hint="eastAsia" w:eastAsia="方正仿宋_GBK" w:cs="Times New Roman"/>
          <w:kern w:val="2"/>
          <w:sz w:val="32"/>
          <w:szCs w:val="32"/>
          <w:highlight w:val="none"/>
          <w:lang w:val="en-US" w:eastAsia="zh-CN" w:bidi="ar-SA"/>
        </w:rPr>
        <w:t>青河县消防救援大队</w:t>
      </w:r>
      <w:r>
        <w:rPr>
          <w:rFonts w:hint="eastAsia" w:ascii="Times New Roman" w:hAnsi="Times New Roman" w:eastAsia="方正仿宋_GBK" w:cs="Times New Roman"/>
          <w:kern w:val="2"/>
          <w:sz w:val="32"/>
          <w:szCs w:val="32"/>
          <w:highlight w:val="none"/>
          <w:lang w:val="en-US" w:eastAsia="zh-CN" w:bidi="ar-SA"/>
        </w:rPr>
        <w:t>无政府性基金预算收入</w:t>
      </w:r>
      <w:r>
        <w:rPr>
          <w:rFonts w:hint="eastAsia" w:eastAsia="方正仿宋_GBK" w:cs="Times New Roman"/>
          <w:kern w:val="2"/>
          <w:sz w:val="32"/>
          <w:szCs w:val="32"/>
          <w:highlight w:val="none"/>
          <w:lang w:val="en-US" w:eastAsia="zh-CN" w:bidi="ar-SA"/>
        </w:rPr>
        <w:t>。</w:t>
      </w:r>
    </w:p>
    <w:p>
      <w:pPr>
        <w:pStyle w:val="3"/>
        <w:keepNext w:val="0"/>
        <w:keepLines w:val="0"/>
        <w:pageBreakBefore w:val="0"/>
        <w:widowControl/>
        <w:numPr>
          <w:ilvl w:val="0"/>
          <w:numId w:val="3"/>
        </w:numPr>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jc w:val="left"/>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default" w:ascii="Times New Roman" w:hAnsi="Times New Roman" w:eastAsia="方正黑体_GBK" w:cs="Times New Roman"/>
          <w:b w:val="0"/>
          <w:bCs w:val="0"/>
          <w:kern w:val="2"/>
          <w:sz w:val="32"/>
          <w:szCs w:val="32"/>
          <w:highlight w:val="none"/>
          <w:lang w:val="en-US" w:eastAsia="zh-CN" w:bidi="ar-SA"/>
        </w:rPr>
        <w:t>国有资本经营预算财政拨款收支情况说明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ind w:firstLine="640" w:firstLineChars="200"/>
        <w:textAlignment w:val="auto"/>
        <w:rPr>
          <w:rFonts w:hint="default"/>
          <w:lang w:val="en-US" w:eastAsia="zh-CN"/>
        </w:rPr>
      </w:pPr>
      <w:r>
        <w:rPr>
          <w:rFonts w:hint="eastAsia" w:eastAsia="方正仿宋_GBK" w:cs="Times New Roman"/>
          <w:kern w:val="2"/>
          <w:sz w:val="32"/>
          <w:szCs w:val="32"/>
          <w:highlight w:val="none"/>
          <w:lang w:val="en-US" w:eastAsia="zh-CN" w:bidi="ar-SA"/>
        </w:rPr>
        <w:t>青河县消防救援大队此项</w:t>
      </w:r>
      <w:r>
        <w:rPr>
          <w:rFonts w:hint="eastAsia" w:ascii="Times New Roman" w:hAnsi="Times New Roman" w:eastAsia="方正仿宋_GBK" w:cs="Times New Roman"/>
          <w:kern w:val="2"/>
          <w:sz w:val="32"/>
          <w:szCs w:val="32"/>
          <w:highlight w:val="none"/>
          <w:lang w:val="en-US" w:eastAsia="zh-CN" w:bidi="ar-SA"/>
        </w:rPr>
        <w:t>预算收入</w:t>
      </w:r>
      <w:r>
        <w:rPr>
          <w:rFonts w:hint="eastAsia"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left="638" w:leftChars="304" w:firstLine="0" w:firstLineChars="0"/>
        <w:textAlignment w:val="auto"/>
        <w:rPr>
          <w:rFonts w:hint="eastAsia" w:ascii="Times New Roman" w:hAnsi="Times New Roman" w:eastAsia="方正黑体_GBK" w:cs="Times New Roman"/>
          <w:b w:val="0"/>
          <w:bCs w:val="0"/>
          <w:sz w:val="32"/>
          <w:szCs w:val="32"/>
          <w:lang w:eastAsia="zh-CN"/>
        </w:rPr>
      </w:pPr>
      <w:r>
        <w:rPr>
          <w:rFonts w:hint="eastAsia" w:eastAsia="方正黑体_GBK" w:cs="Times New Roman"/>
          <w:b w:val="0"/>
          <w:bCs w:val="0"/>
          <w:sz w:val="32"/>
          <w:szCs w:val="32"/>
          <w:lang w:val="en-US" w:eastAsia="zh-CN"/>
        </w:rPr>
        <w:t>七</w:t>
      </w:r>
      <w:r>
        <w:rPr>
          <w:rFonts w:hint="default" w:ascii="Times New Roman" w:hAnsi="Times New Roman" w:eastAsia="方正黑体_GBK" w:cs="Times New Roman"/>
          <w:b w:val="0"/>
          <w:bCs w:val="0"/>
          <w:sz w:val="32"/>
          <w:szCs w:val="32"/>
        </w:rPr>
        <w:t>、</w:t>
      </w:r>
      <w:r>
        <w:rPr>
          <w:rFonts w:hint="eastAsia" w:eastAsia="方正黑体_GBK" w:cs="Times New Roman"/>
          <w:b w:val="0"/>
          <w:bCs w:val="0"/>
          <w:sz w:val="32"/>
          <w:szCs w:val="32"/>
          <w:lang w:eastAsia="zh-CN"/>
        </w:rPr>
        <w:t>机关运行经费支出说明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color w:val="auto"/>
          <w:sz w:val="32"/>
          <w:szCs w:val="32"/>
        </w:rPr>
      </w:pPr>
      <w:r>
        <w:rPr>
          <w:rFonts w:hint="eastAsia" w:eastAsia="方正仿宋_GBK" w:cs="Times New Roman"/>
          <w:color w:val="auto"/>
          <w:sz w:val="32"/>
          <w:szCs w:val="32"/>
          <w:lang w:eastAsia="zh-CN"/>
        </w:rPr>
        <w:t>2024年度</w:t>
      </w:r>
      <w:r>
        <w:rPr>
          <w:rFonts w:hint="default" w:ascii="Times New Roman" w:hAnsi="Times New Roman" w:eastAsia="方正仿宋_GBK" w:cs="Times New Roman"/>
          <w:color w:val="auto"/>
          <w:sz w:val="32"/>
          <w:szCs w:val="32"/>
        </w:rPr>
        <w:t>机关运行经费支出</w:t>
      </w:r>
      <w:r>
        <w:rPr>
          <w:rFonts w:hint="eastAsia" w:eastAsia="方正仿宋_GBK" w:cs="Times New Roman"/>
          <w:color w:val="auto"/>
          <w:sz w:val="32"/>
          <w:szCs w:val="32"/>
          <w:lang w:val="en-US" w:eastAsia="zh-CN"/>
        </w:rPr>
        <w:t>0</w:t>
      </w:r>
      <w:r>
        <w:rPr>
          <w:rFonts w:hint="default" w:ascii="Times New Roman" w:hAnsi="Times New Roman" w:eastAsia="方正仿宋_GBK" w:cs="Times New Roman"/>
          <w:color w:val="auto"/>
          <w:sz w:val="32"/>
          <w:szCs w:val="32"/>
        </w:rPr>
        <w:t>万元，</w:t>
      </w:r>
      <w:r>
        <w:rPr>
          <w:rFonts w:hint="eastAsia" w:eastAsia="方正仿宋_GBK" w:cs="Times New Roman"/>
          <w:kern w:val="2"/>
          <w:sz w:val="32"/>
          <w:szCs w:val="32"/>
          <w:highlight w:val="none"/>
          <w:lang w:val="en-US" w:eastAsia="zh-CN" w:bidi="ar-SA"/>
        </w:rPr>
        <w:t>全部在支队本级进行统一</w:t>
      </w:r>
      <w:r>
        <w:rPr>
          <w:rFonts w:hint="eastAsia" w:eastAsia="方正仿宋_GBK" w:cs="Times New Roman"/>
          <w:color w:val="auto"/>
          <w:kern w:val="2"/>
          <w:sz w:val="32"/>
          <w:szCs w:val="32"/>
          <w:highlight w:val="none"/>
          <w:lang w:val="en-US" w:eastAsia="zh-CN" w:bidi="ar-SA"/>
        </w:rPr>
        <w:t>核算</w:t>
      </w:r>
      <w:r>
        <w:rPr>
          <w:rFonts w:hint="default" w:ascii="Times New Roman" w:hAnsi="Times New Roman" w:eastAsia="方正仿宋_GBK" w:cs="Times New Roman"/>
          <w:color w:val="auto"/>
          <w:sz w:val="32"/>
          <w:szCs w:val="32"/>
        </w:rPr>
        <w:t>。</w:t>
      </w:r>
    </w:p>
    <w:p>
      <w:pPr>
        <w:keepNext w:val="0"/>
        <w:keepLines w:val="0"/>
        <w:pageBreakBefore w:val="0"/>
        <w:widowControl w:val="0"/>
        <w:numPr>
          <w:ilvl w:val="0"/>
          <w:numId w:val="0"/>
        </w:numPr>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rPr>
      </w:pPr>
      <w:r>
        <w:rPr>
          <w:rFonts w:hint="eastAsia" w:eastAsia="方正黑体_GBK" w:cs="Times New Roman"/>
          <w:b w:val="0"/>
          <w:bCs w:val="0"/>
          <w:sz w:val="32"/>
          <w:szCs w:val="32"/>
          <w:lang w:val="en-US" w:eastAsia="zh-CN"/>
        </w:rPr>
        <w:t>八</w:t>
      </w:r>
      <w:r>
        <w:rPr>
          <w:rFonts w:hint="default" w:ascii="Times New Roman" w:hAnsi="Times New Roman" w:eastAsia="方正黑体_GBK" w:cs="Times New Roman"/>
          <w:b w:val="0"/>
          <w:bCs w:val="0"/>
          <w:sz w:val="32"/>
          <w:szCs w:val="32"/>
          <w:lang w:eastAsia="zh-CN"/>
        </w:rPr>
        <w:t>、</w:t>
      </w:r>
      <w:r>
        <w:rPr>
          <w:rFonts w:hint="eastAsia" w:eastAsia="方正黑体_GBK" w:cs="Times New Roman"/>
          <w:b w:val="0"/>
          <w:bCs w:val="0"/>
          <w:sz w:val="32"/>
          <w:szCs w:val="32"/>
          <w:lang w:eastAsia="zh-CN"/>
        </w:rPr>
        <w:t>政府采购</w:t>
      </w:r>
      <w:r>
        <w:rPr>
          <w:rFonts w:hint="eastAsia" w:eastAsia="方正黑体_GBK" w:cs="Times New Roman"/>
          <w:b w:val="0"/>
          <w:bCs w:val="0"/>
          <w:sz w:val="32"/>
          <w:szCs w:val="32"/>
          <w:lang w:val="en-US" w:eastAsia="zh-CN"/>
        </w:rPr>
        <w:t>支出</w:t>
      </w:r>
      <w:r>
        <w:rPr>
          <w:rFonts w:hint="eastAsia" w:eastAsia="方正黑体_GBK" w:cs="Times New Roman"/>
          <w:b w:val="0"/>
          <w:bCs w:val="0"/>
          <w:sz w:val="32"/>
          <w:szCs w:val="32"/>
          <w:lang w:eastAsia="zh-CN"/>
        </w:rPr>
        <w:t>说明</w:t>
      </w:r>
      <w:r>
        <w:rPr>
          <w:rFonts w:hint="default" w:ascii="Times New Roman" w:hAnsi="Times New Roman" w:eastAsia="方正黑体_GBK" w:cs="Times New Roman"/>
          <w:b w:val="0"/>
          <w:bCs w:val="0"/>
          <w:sz w:val="32"/>
          <w:szCs w:val="32"/>
        </w:rPr>
        <w:br w:type="textWrapping"/>
      </w:r>
      <w:r>
        <w:rPr>
          <w:rFonts w:hint="default" w:ascii="Times New Roman" w:hAnsi="Times New Roman" w:eastAsia="黑体" w:cs="Times New Roman"/>
          <w:sz w:val="32"/>
          <w:szCs w:val="32"/>
          <w:lang w:val="en-US" w:eastAsia="zh-CN"/>
        </w:rPr>
        <w:t xml:space="preserve">  </w:t>
      </w:r>
      <w:r>
        <w:rPr>
          <w:rFonts w:hint="eastAsia" w:eastAsia="黑体" w:cs="Times New Roman"/>
          <w:color w:val="0000FF"/>
          <w:sz w:val="32"/>
          <w:szCs w:val="32"/>
          <w:lang w:val="en-US" w:eastAsia="zh-CN"/>
        </w:rPr>
        <w:t xml:space="preserve">  </w:t>
      </w:r>
      <w:r>
        <w:rPr>
          <w:rFonts w:hint="eastAsia" w:eastAsia="方正仿宋_GBK" w:cs="Times New Roman"/>
          <w:color w:val="auto"/>
          <w:sz w:val="32"/>
          <w:szCs w:val="32"/>
          <w:lang w:eastAsia="zh-CN"/>
        </w:rPr>
        <w:t>2024年度政府采购支出总额</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万元，其中：政府采购货物支出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万元、政府采购工程支出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万元、政府采购服务支出0万元。</w:t>
      </w:r>
      <w:r>
        <w:rPr>
          <w:rFonts w:hint="eastAsia" w:eastAsia="方正仿宋_GBK" w:cs="Times New Roman"/>
          <w:kern w:val="2"/>
          <w:sz w:val="32"/>
          <w:szCs w:val="32"/>
          <w:highlight w:val="none"/>
          <w:lang w:val="en-US" w:eastAsia="zh-CN" w:bidi="ar-SA"/>
        </w:rPr>
        <w:t>全部在支队本级进行统一核算。</w:t>
      </w:r>
    </w:p>
    <w:p>
      <w:pPr>
        <w:keepNext w:val="0"/>
        <w:keepLines w:val="0"/>
        <w:pageBreakBefore w:val="0"/>
        <w:widowControl w:val="0"/>
        <w:kinsoku/>
        <w:wordWrap/>
        <w:overflowPunct/>
        <w:topLinePunct w:val="0"/>
        <w:autoSpaceDE/>
        <w:autoSpaceDN/>
        <w:bidi w:val="0"/>
        <w:adjustRightInd w:val="0"/>
        <w:snapToGrid/>
        <w:spacing w:line="620" w:lineRule="exact"/>
        <w:textAlignment w:val="auto"/>
        <w:rPr>
          <w:rFonts w:hint="default" w:ascii="Times New Roman" w:hAnsi="Times New Roman" w:eastAsia="仿宋_GB2312" w:cs="Times New Roman"/>
          <w:b/>
          <w:bCs/>
          <w:color w:val="auto"/>
          <w:sz w:val="32"/>
          <w:szCs w:val="30"/>
          <w:highlight w:val="none"/>
        </w:rPr>
      </w:pPr>
      <w:r>
        <w:rPr>
          <w:rFonts w:hint="default" w:ascii="Times New Roman" w:hAnsi="Times New Roman" w:eastAsia="楷体_GB2312" w:cs="Times New Roman"/>
          <w:b/>
          <w:bCs/>
          <w:color w:val="auto"/>
          <w:sz w:val="32"/>
          <w:szCs w:val="30"/>
        </w:rPr>
        <w:t xml:space="preserve">  </w:t>
      </w:r>
      <w:r>
        <w:rPr>
          <w:rFonts w:hint="default" w:ascii="Times New Roman" w:hAnsi="Times New Roman" w:eastAsia="方正楷体_GBK" w:cs="Times New Roman"/>
          <w:b/>
          <w:bCs w:val="0"/>
          <w:color w:val="auto"/>
          <w:sz w:val="32"/>
          <w:szCs w:val="32"/>
          <w:highlight w:val="none"/>
        </w:rPr>
        <w:t xml:space="preserve"> </w:t>
      </w:r>
      <w:r>
        <w:rPr>
          <w:rFonts w:hint="default" w:ascii="Times New Roman" w:hAnsi="Times New Roman" w:eastAsia="方正楷体_GBK" w:cs="Times New Roman"/>
          <w:b/>
          <w:bCs w:val="0"/>
          <w:color w:val="auto"/>
          <w:sz w:val="32"/>
          <w:szCs w:val="32"/>
          <w:highlight w:val="none"/>
          <w:lang w:val="en-US" w:eastAsia="zh-CN"/>
        </w:rPr>
        <w:t xml:space="preserve"> </w:t>
      </w:r>
      <w:r>
        <w:rPr>
          <w:rFonts w:hint="eastAsia" w:eastAsia="方正楷体_GBK" w:cs="Times New Roman"/>
          <w:b/>
          <w:bCs w:val="0"/>
          <w:color w:val="auto"/>
          <w:sz w:val="32"/>
          <w:szCs w:val="32"/>
          <w:highlight w:val="none"/>
          <w:lang w:val="en-US" w:eastAsia="zh-CN"/>
        </w:rPr>
        <w:t>九</w:t>
      </w:r>
      <w:r>
        <w:rPr>
          <w:rFonts w:hint="eastAsia" w:eastAsia="方正黑体_GBK" w:cs="Times New Roman"/>
          <w:b w:val="0"/>
          <w:bCs w:val="0"/>
          <w:color w:val="auto"/>
          <w:sz w:val="32"/>
          <w:szCs w:val="32"/>
          <w:lang w:eastAsia="zh-CN"/>
        </w:rPr>
        <w:t>、</w:t>
      </w:r>
      <w:r>
        <w:rPr>
          <w:rFonts w:hint="default" w:eastAsia="方正黑体_GBK" w:cs="Times New Roman"/>
          <w:b w:val="0"/>
          <w:bCs w:val="0"/>
          <w:color w:val="auto"/>
          <w:sz w:val="32"/>
          <w:szCs w:val="32"/>
          <w:lang w:eastAsia="zh-CN"/>
        </w:rPr>
        <w:t>国有资产占有</w:t>
      </w:r>
      <w:r>
        <w:rPr>
          <w:rFonts w:hint="eastAsia" w:eastAsia="方正黑体_GBK" w:cs="Times New Roman"/>
          <w:b w:val="0"/>
          <w:bCs w:val="0"/>
          <w:color w:val="auto"/>
          <w:sz w:val="32"/>
          <w:szCs w:val="32"/>
          <w:lang w:val="en-US" w:eastAsia="zh-CN"/>
        </w:rPr>
        <w:t>情况说明</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highlight w:val="none"/>
        </w:rPr>
      </w:pPr>
      <w:r>
        <w:rPr>
          <w:rFonts w:hint="default" w:ascii="Times New Roman" w:hAnsi="Times New Roman" w:eastAsia="方正仿宋_GBK" w:cs="Times New Roman"/>
          <w:color w:val="auto"/>
          <w:sz w:val="32"/>
          <w:szCs w:val="32"/>
          <w:highlight w:val="none"/>
        </w:rPr>
        <w:t>截至</w:t>
      </w:r>
      <w:r>
        <w:rPr>
          <w:rFonts w:hint="eastAsia" w:eastAsia="方正仿宋_GBK" w:cs="Times New Roman"/>
          <w:color w:val="auto"/>
          <w:sz w:val="32"/>
          <w:szCs w:val="32"/>
          <w:highlight w:val="none"/>
          <w:lang w:eastAsia="zh-CN"/>
        </w:rPr>
        <w:t>2024</w:t>
      </w:r>
      <w:r>
        <w:rPr>
          <w:rFonts w:hint="default" w:ascii="Times New Roman" w:hAnsi="Times New Roman" w:eastAsia="方正仿宋_GBK" w:cs="Times New Roman"/>
          <w:color w:val="auto"/>
          <w:sz w:val="32"/>
          <w:szCs w:val="32"/>
          <w:highlight w:val="none"/>
        </w:rPr>
        <w:t>年12月31日，共有车辆</w:t>
      </w:r>
      <w:r>
        <w:rPr>
          <w:rFonts w:hint="eastAsia" w:eastAsia="方正仿宋_GBK" w:cs="Times New Roman"/>
          <w:color w:val="auto"/>
          <w:sz w:val="32"/>
          <w:szCs w:val="32"/>
          <w:highlight w:val="none"/>
          <w:lang w:val="en-US" w:eastAsia="zh-CN"/>
        </w:rPr>
        <w:t>13</w:t>
      </w:r>
      <w:r>
        <w:rPr>
          <w:rFonts w:hint="default" w:ascii="Times New Roman" w:hAnsi="Times New Roman" w:eastAsia="方正仿宋_GBK" w:cs="Times New Roman"/>
          <w:color w:val="auto"/>
          <w:sz w:val="32"/>
          <w:szCs w:val="32"/>
          <w:highlight w:val="none"/>
        </w:rPr>
        <w:t>辆，其中，应急保障用车</w:t>
      </w:r>
      <w:r>
        <w:rPr>
          <w:rFonts w:hint="eastAsia" w:eastAsia="方正仿宋_GBK" w:cs="Times New Roman"/>
          <w:color w:val="auto"/>
          <w:sz w:val="32"/>
          <w:szCs w:val="32"/>
          <w:highlight w:val="none"/>
          <w:lang w:val="en-US" w:eastAsia="zh-CN"/>
        </w:rPr>
        <w:t>3</w:t>
      </w:r>
      <w:r>
        <w:rPr>
          <w:rFonts w:hint="default" w:ascii="Times New Roman" w:hAnsi="Times New Roman" w:eastAsia="方正仿宋_GBK" w:cs="Times New Roman"/>
          <w:color w:val="auto"/>
          <w:sz w:val="32"/>
          <w:szCs w:val="32"/>
          <w:highlight w:val="none"/>
        </w:rPr>
        <w:t>辆、执法执勤用车</w:t>
      </w:r>
      <w:r>
        <w:rPr>
          <w:rFonts w:hint="eastAsia" w:eastAsia="方正仿宋_GBK" w:cs="Times New Roman"/>
          <w:color w:val="auto"/>
          <w:sz w:val="32"/>
          <w:szCs w:val="32"/>
          <w:highlight w:val="none"/>
          <w:lang w:val="en-US" w:eastAsia="zh-CN"/>
        </w:rPr>
        <w:t>1</w:t>
      </w:r>
      <w:r>
        <w:rPr>
          <w:rFonts w:hint="default" w:ascii="Times New Roman" w:hAnsi="Times New Roman" w:eastAsia="方正仿宋_GBK" w:cs="Times New Roman"/>
          <w:color w:val="auto"/>
          <w:sz w:val="32"/>
          <w:szCs w:val="32"/>
          <w:highlight w:val="none"/>
        </w:rPr>
        <w:t>辆、特种专业技术用车</w:t>
      </w:r>
      <w:r>
        <w:rPr>
          <w:rFonts w:hint="eastAsia" w:eastAsia="方正仿宋_GBK" w:cs="Times New Roman"/>
          <w:color w:val="auto"/>
          <w:sz w:val="32"/>
          <w:szCs w:val="32"/>
          <w:highlight w:val="none"/>
          <w:lang w:val="en-US" w:eastAsia="zh-CN"/>
        </w:rPr>
        <w:t>7</w:t>
      </w:r>
      <w:r>
        <w:rPr>
          <w:rFonts w:hint="default" w:ascii="Times New Roman" w:hAnsi="Times New Roman" w:eastAsia="方正仿宋_GBK" w:cs="Times New Roman"/>
          <w:color w:val="auto"/>
          <w:sz w:val="32"/>
          <w:szCs w:val="32"/>
          <w:highlight w:val="none"/>
        </w:rPr>
        <w:t>辆、机要通信车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辆、其他用车</w:t>
      </w:r>
      <w:r>
        <w:rPr>
          <w:rFonts w:hint="eastAsia" w:eastAsia="方正仿宋_GBK" w:cs="Times New Roman"/>
          <w:color w:val="auto"/>
          <w:sz w:val="32"/>
          <w:szCs w:val="32"/>
          <w:highlight w:val="none"/>
          <w:lang w:val="en-US" w:eastAsia="zh-CN"/>
        </w:rPr>
        <w:t>2</w:t>
      </w:r>
      <w:r>
        <w:rPr>
          <w:rFonts w:hint="default" w:ascii="Times New Roman" w:hAnsi="Times New Roman" w:eastAsia="方正仿宋_GBK" w:cs="Times New Roman"/>
          <w:color w:val="auto"/>
          <w:sz w:val="32"/>
          <w:szCs w:val="32"/>
          <w:highlight w:val="none"/>
        </w:rPr>
        <w:t>辆，其他用车主要是消防救援业务用车；单位价值</w:t>
      </w:r>
      <w:r>
        <w:rPr>
          <w:rFonts w:hint="eastAsia" w:eastAsia="方正仿宋_GBK" w:cs="Times New Roman"/>
          <w:color w:val="auto"/>
          <w:sz w:val="32"/>
          <w:szCs w:val="32"/>
          <w:highlight w:val="none"/>
          <w:lang w:val="en-US" w:eastAsia="zh-CN"/>
        </w:rPr>
        <w:t>50</w:t>
      </w:r>
      <w:r>
        <w:rPr>
          <w:rFonts w:hint="default" w:ascii="Times New Roman" w:hAnsi="Times New Roman" w:eastAsia="方正仿宋_GBK" w:cs="Times New Roman"/>
          <w:color w:val="auto"/>
          <w:sz w:val="32"/>
          <w:szCs w:val="32"/>
          <w:highlight w:val="none"/>
        </w:rPr>
        <w:t>万元以上通用设备</w:t>
      </w:r>
      <w:r>
        <w:rPr>
          <w:rFonts w:hint="eastAsia" w:eastAsia="方正仿宋_GBK" w:cs="Times New Roman"/>
          <w:color w:val="auto"/>
          <w:sz w:val="32"/>
          <w:szCs w:val="32"/>
          <w:highlight w:val="none"/>
          <w:lang w:val="en-US" w:eastAsia="zh-CN"/>
        </w:rPr>
        <w:t>6</w:t>
      </w:r>
      <w:r>
        <w:rPr>
          <w:rFonts w:hint="default" w:ascii="Times New Roman" w:hAnsi="Times New Roman" w:eastAsia="方正仿宋_GBK" w:cs="Times New Roman"/>
          <w:color w:val="auto"/>
          <w:sz w:val="32"/>
          <w:szCs w:val="32"/>
          <w:highlight w:val="none"/>
        </w:rPr>
        <w:t>台（套）；单位价值100万元以上专用设备</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台（套）。</w:t>
      </w:r>
    </w:p>
    <w:p>
      <w:pPr>
        <w:keepNext w:val="0"/>
        <w:keepLines w:val="0"/>
        <w:pageBreakBefore w:val="0"/>
        <w:widowControl w:val="0"/>
        <w:kinsoku/>
        <w:wordWrap/>
        <w:overflowPunct/>
        <w:topLinePunct w:val="0"/>
        <w:autoSpaceDE/>
        <w:autoSpaceDN/>
        <w:bidi w:val="0"/>
        <w:adjustRightInd w:val="0"/>
        <w:snapToGrid/>
        <w:spacing w:line="620" w:lineRule="exact"/>
        <w:ind w:firstLine="640" w:firstLineChars="200"/>
        <w:textAlignment w:val="auto"/>
        <w:rPr>
          <w:rFonts w:hint="default" w:eastAsia="方正黑体_GBK" w:cs="Times New Roman"/>
          <w:b w:val="0"/>
          <w:bCs w:val="0"/>
          <w:sz w:val="32"/>
          <w:szCs w:val="32"/>
          <w:lang w:eastAsia="zh-CN"/>
        </w:rPr>
      </w:pPr>
      <w:r>
        <w:rPr>
          <w:rFonts w:hint="eastAsia" w:eastAsia="方正黑体_GBK" w:cs="Times New Roman"/>
          <w:b w:val="0"/>
          <w:bCs w:val="0"/>
          <w:sz w:val="32"/>
          <w:szCs w:val="32"/>
          <w:lang w:eastAsia="zh-CN"/>
        </w:rPr>
        <w:t>十、</w:t>
      </w:r>
      <w:r>
        <w:rPr>
          <w:rFonts w:hint="eastAsia" w:eastAsia="方正黑体_GBK" w:cs="Times New Roman"/>
          <w:b w:val="0"/>
          <w:bCs w:val="0"/>
          <w:sz w:val="32"/>
          <w:szCs w:val="32"/>
          <w:lang w:val="en-US" w:eastAsia="zh-CN"/>
        </w:rPr>
        <w:t>关于2024年度绩效评价的</w:t>
      </w:r>
      <w:r>
        <w:rPr>
          <w:rFonts w:hint="eastAsia" w:eastAsia="方正黑体_GBK" w:cs="Times New Roman"/>
          <w:b w:val="0"/>
          <w:bCs w:val="0"/>
          <w:sz w:val="32"/>
          <w:szCs w:val="32"/>
          <w:lang w:eastAsia="zh-CN"/>
        </w:rPr>
        <w:t>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（一）绩效评价工作开展情况。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根据预算绩效管理要求，原应急管理部消防救援局组织对</w:t>
      </w:r>
      <w:r>
        <w:rPr>
          <w:rFonts w:hint="eastAsia" w:eastAsia="仿宋_GB2312" w:cs="Times New Roman"/>
          <w:kern w:val="2"/>
          <w:sz w:val="32"/>
          <w:szCs w:val="32"/>
          <w:highlight w:val="none"/>
          <w:lang w:val="en-US" w:eastAsia="zh-CN" w:bidi="ar-SA"/>
        </w:rPr>
        <w:t>2024年度</w:t>
      </w:r>
      <w:r>
        <w:rPr>
          <w:rFonts w:hint="default" w:ascii="Times New Roman" w:hAnsi="Times New Roman" w:eastAsia="仿宋_GB2312" w:cs="Times New Roman"/>
          <w:kern w:val="2"/>
          <w:sz w:val="32"/>
          <w:szCs w:val="32"/>
          <w:highlight w:val="none"/>
          <w:lang w:val="en-US" w:eastAsia="zh-CN" w:bidi="ar-SA"/>
        </w:rPr>
        <w:t>一般公共预算项目支出全面开展绩效自评，其</w:t>
      </w:r>
      <w:r>
        <w:rPr>
          <w:rFonts w:hint="default" w:ascii="Times New Roman" w:hAnsi="Times New Roman" w:eastAsia="仿宋_GB2312" w:cs="Times New Roman"/>
          <w:color w:val="auto"/>
          <w:kern w:val="2"/>
          <w:sz w:val="32"/>
          <w:szCs w:val="32"/>
          <w:highlight w:val="none"/>
          <w:lang w:val="en-US" w:eastAsia="zh-CN" w:bidi="ar-SA"/>
        </w:rPr>
        <w:t>中，二级项目</w:t>
      </w:r>
      <w:r>
        <w:rPr>
          <w:rFonts w:hint="eastAsia" w:eastAsia="仿宋_GB2312" w:cs="Times New Roman"/>
          <w:color w:val="auto"/>
          <w:kern w:val="2"/>
          <w:sz w:val="32"/>
          <w:szCs w:val="32"/>
          <w:highlight w:val="none"/>
          <w:lang w:val="en-US" w:eastAsia="zh-CN" w:bidi="ar-SA"/>
        </w:rPr>
        <w:t>1</w:t>
      </w:r>
      <w:r>
        <w:rPr>
          <w:rFonts w:hint="default" w:ascii="Times New Roman" w:hAnsi="Times New Roman" w:eastAsia="仿宋_GB2312" w:cs="Times New Roman"/>
          <w:color w:val="auto"/>
          <w:kern w:val="2"/>
          <w:sz w:val="32"/>
          <w:szCs w:val="32"/>
          <w:highlight w:val="none"/>
          <w:lang w:val="en-US" w:eastAsia="zh-CN" w:bidi="ar-SA"/>
        </w:rPr>
        <w:t>个，涉及资金</w:t>
      </w:r>
      <w:r>
        <w:rPr>
          <w:rFonts w:hint="eastAsia" w:eastAsia="仿宋_GB2312" w:cs="Times New Roman"/>
          <w:color w:val="auto"/>
          <w:kern w:val="2"/>
          <w:sz w:val="32"/>
          <w:szCs w:val="32"/>
          <w:highlight w:val="none"/>
          <w:lang w:val="en-US" w:eastAsia="zh-CN" w:bidi="ar-SA"/>
        </w:rPr>
        <w:t>33.86</w:t>
      </w:r>
      <w:r>
        <w:rPr>
          <w:rFonts w:hint="default" w:ascii="Times New Roman" w:hAnsi="Times New Roman" w:eastAsia="仿宋_GB2312" w:cs="Times New Roman"/>
          <w:color w:val="auto"/>
          <w:kern w:val="2"/>
          <w:sz w:val="32"/>
          <w:szCs w:val="32"/>
          <w:highlight w:val="none"/>
          <w:lang w:val="en-US" w:eastAsia="zh-CN" w:bidi="ar-SA"/>
        </w:rPr>
        <w:t>万元，占一般公共预算项目支出总额的100％。</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（二）部门决算中项目绩效自评结果。</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1．服装护具及伙食补助项目绩效自评综述：根据年初设定的绩效目标，项目自评得分为</w:t>
      </w:r>
      <w:r>
        <w:rPr>
          <w:rFonts w:hint="eastAsia" w:eastAsia="仿宋_GB2312" w:cs="Times New Roman"/>
          <w:kern w:val="2"/>
          <w:sz w:val="32"/>
          <w:szCs w:val="32"/>
          <w:highlight w:val="none"/>
          <w:lang w:val="en-US" w:eastAsia="zh-CN" w:bidi="ar-SA"/>
        </w:rPr>
        <w:t>100</w:t>
      </w:r>
      <w:r>
        <w:rPr>
          <w:rFonts w:hint="default" w:ascii="Times New Roman" w:hAnsi="Times New Roman" w:eastAsia="仿宋_GB2312" w:cs="Times New Roman"/>
          <w:kern w:val="2"/>
          <w:sz w:val="32"/>
          <w:szCs w:val="32"/>
          <w:highlight w:val="none"/>
          <w:lang w:val="en-US" w:eastAsia="zh-CN" w:bidi="ar-SA"/>
        </w:rPr>
        <w:t>分。</w:t>
      </w:r>
      <w:r>
        <w:rPr>
          <w:rFonts w:hint="default" w:ascii="Times New Roman" w:hAnsi="Times New Roman" w:eastAsia="仿宋_GB2312" w:cs="Times New Roman"/>
          <w:color w:val="auto"/>
          <w:kern w:val="2"/>
          <w:sz w:val="32"/>
          <w:szCs w:val="32"/>
          <w:highlight w:val="none"/>
          <w:lang w:val="en-US" w:eastAsia="zh-CN" w:bidi="ar-SA"/>
        </w:rPr>
        <w:t>项目全年预算数</w:t>
      </w:r>
      <w:r>
        <w:rPr>
          <w:rFonts w:hint="eastAsia" w:eastAsia="仿宋_GB2312" w:cs="Times New Roman"/>
          <w:color w:val="auto"/>
          <w:kern w:val="2"/>
          <w:sz w:val="32"/>
          <w:szCs w:val="32"/>
          <w:highlight w:val="none"/>
          <w:lang w:val="en-US" w:eastAsia="zh-CN" w:bidi="ar-SA"/>
        </w:rPr>
        <w:t>33.86</w:t>
      </w:r>
      <w:r>
        <w:rPr>
          <w:rFonts w:hint="default" w:ascii="Times New Roman" w:hAnsi="Times New Roman" w:eastAsia="仿宋_GB2312" w:cs="Times New Roman"/>
          <w:color w:val="auto"/>
          <w:kern w:val="2"/>
          <w:sz w:val="32"/>
          <w:szCs w:val="32"/>
          <w:highlight w:val="none"/>
          <w:lang w:val="en-US" w:eastAsia="zh-CN" w:bidi="ar-SA"/>
        </w:rPr>
        <w:t>万元，执行数为</w:t>
      </w:r>
      <w:r>
        <w:rPr>
          <w:rFonts w:hint="eastAsia" w:eastAsia="仿宋_GB2312" w:cs="Times New Roman"/>
          <w:color w:val="auto"/>
          <w:kern w:val="2"/>
          <w:sz w:val="32"/>
          <w:szCs w:val="32"/>
          <w:highlight w:val="none"/>
          <w:lang w:val="en-US" w:eastAsia="zh-CN" w:bidi="ar-SA"/>
        </w:rPr>
        <w:t>33.86</w:t>
      </w:r>
      <w:r>
        <w:rPr>
          <w:rFonts w:hint="default" w:ascii="Times New Roman" w:hAnsi="Times New Roman" w:eastAsia="仿宋_GB2312" w:cs="Times New Roman"/>
          <w:color w:val="auto"/>
          <w:kern w:val="2"/>
          <w:sz w:val="32"/>
          <w:szCs w:val="32"/>
          <w:highlight w:val="none"/>
          <w:lang w:val="en-US" w:eastAsia="zh-CN" w:bidi="ar-SA"/>
        </w:rPr>
        <w:t>万元，完成预算的</w:t>
      </w:r>
      <w:r>
        <w:rPr>
          <w:rFonts w:hint="eastAsia" w:eastAsia="仿宋_GB2312" w:cs="Times New Roman"/>
          <w:color w:val="auto"/>
          <w:kern w:val="2"/>
          <w:sz w:val="32"/>
          <w:szCs w:val="32"/>
          <w:highlight w:val="none"/>
          <w:lang w:val="en-US" w:eastAsia="zh-CN" w:bidi="ar-SA"/>
        </w:rPr>
        <w:t>100</w:t>
      </w:r>
      <w:r>
        <w:rPr>
          <w:rFonts w:hint="default" w:ascii="Times New Roman" w:hAnsi="Times New Roman" w:eastAsia="仿宋_GB2312" w:cs="Times New Roman"/>
          <w:color w:val="auto"/>
          <w:kern w:val="2"/>
          <w:sz w:val="32"/>
          <w:szCs w:val="32"/>
          <w:highlight w:val="none"/>
          <w:lang w:val="en-US" w:eastAsia="zh-CN" w:bidi="ar-SA"/>
        </w:rPr>
        <w:t>％。项目绩效目标完成情况：结合实际需求，</w:t>
      </w:r>
      <w:r>
        <w:rPr>
          <w:rFonts w:hint="eastAsia" w:eastAsia="仿宋_GB2312" w:cs="Times New Roman"/>
          <w:color w:val="auto"/>
          <w:kern w:val="2"/>
          <w:sz w:val="32"/>
          <w:szCs w:val="32"/>
          <w:highlight w:val="none"/>
          <w:lang w:val="en-US" w:eastAsia="zh-CN" w:bidi="ar-SA"/>
        </w:rPr>
        <w:t>伙食费的有效保障</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不断改善指战员的就餐环境，提高伙食水平</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w:t>
      </w:r>
      <w:r>
        <w:rPr>
          <w:rFonts w:hint="default" w:ascii="Times New Roman" w:hAnsi="Times New Roman" w:eastAsia="仿宋_GB2312" w:cs="Times New Roman"/>
          <w:color w:val="auto"/>
          <w:kern w:val="2"/>
          <w:sz w:val="32"/>
          <w:szCs w:val="32"/>
          <w:highlight w:val="none"/>
          <w:lang w:val="en-US" w:eastAsia="zh-CN" w:bidi="ar-SA"/>
        </w:rPr>
        <w:t>提升战斗力。</w:t>
      </w:r>
    </w:p>
    <w:p>
      <w:pPr>
        <w:pStyle w:val="2"/>
        <w:keepNext w:val="0"/>
        <w:keepLines w:val="0"/>
        <w:pageBreakBefore w:val="0"/>
        <w:widowControl w:val="0"/>
        <w:kinsoku/>
        <w:wordWrap/>
        <w:overflowPunct/>
        <w:topLinePunct w:val="0"/>
        <w:autoSpaceDE/>
        <w:autoSpaceDN/>
        <w:bidi w:val="0"/>
        <w:snapToGrid/>
        <w:spacing w:line="620" w:lineRule="exact"/>
        <w:textAlignment w:val="auto"/>
        <w:rPr>
          <w:rFonts w:hint="default" w:ascii="Times New Roman" w:hAnsi="Times New Roman" w:eastAsia="仿宋_GB2312" w:cs="Times New Roman"/>
          <w:color w:val="auto"/>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spacing w:line="240" w:lineRule="auto"/>
        <w:ind w:left="0" w:leftChars="0" w:firstLine="0" w:firstLineChars="0"/>
      </w:pPr>
      <w:r>
        <w:drawing>
          <wp:inline distT="0" distB="0" distL="114300" distR="114300">
            <wp:extent cx="5753735" cy="5702935"/>
            <wp:effectExtent l="0" t="0" r="18415" b="12065"/>
            <wp:docPr id="5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
                    <pic:cNvPicPr>
                      <a:picLocks noChangeAspect="1"/>
                    </pic:cNvPicPr>
                  </pic:nvPicPr>
                  <pic:blipFill>
                    <a:blip r:embed="rId21"/>
                    <a:stretch>
                      <a:fillRect/>
                    </a:stretch>
                  </pic:blipFill>
                  <pic:spPr>
                    <a:xfrm>
                      <a:off x="0" y="0"/>
                      <a:ext cx="5753735" cy="5702935"/>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rPr>
          <w:rFonts w:hint="default"/>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ind w:left="0" w:leftChars="0" w:firstLine="0" w:firstLineChars="0"/>
        <w:rPr>
          <w:rFonts w:hint="default" w:ascii="Times New Roman" w:hAnsi="Times New Roman" w:eastAsia="仿宋_GB2312" w:cs="Times New Roman"/>
          <w:sz w:val="32"/>
          <w:szCs w:val="32"/>
          <w:highlight w:val="none"/>
          <w:lang w:eastAsia="zh-CN"/>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r>
        <w:rPr>
          <w:rFonts w:hint="default" w:ascii="Times New Roman" w:hAnsi="Times New Roman" w:cs="Times New Roman"/>
        </w:rPr>
        <mc:AlternateContent>
          <mc:Choice Requires="wpg">
            <w:drawing>
              <wp:anchor distT="0" distB="0" distL="114300" distR="114300" simplePos="0" relativeHeight="251666432" behindDoc="1" locked="0" layoutInCell="1" allowOverlap="1">
                <wp:simplePos x="0" y="0"/>
                <wp:positionH relativeFrom="column">
                  <wp:posOffset>-1014095</wp:posOffset>
                </wp:positionH>
                <wp:positionV relativeFrom="paragraph">
                  <wp:posOffset>-945515</wp:posOffset>
                </wp:positionV>
                <wp:extent cx="7543800" cy="11357610"/>
                <wp:effectExtent l="4445" t="0" r="14605" b="15240"/>
                <wp:wrapNone/>
                <wp:docPr id="28" name="组合 1051"/>
                <wp:cNvGraphicFramePr/>
                <a:graphic xmlns:a="http://schemas.openxmlformats.org/drawingml/2006/main">
                  <a:graphicData uri="http://schemas.microsoft.com/office/word/2010/wordprocessingGroup">
                    <wpg:wgp>
                      <wpg:cNvGrpSpPr/>
                      <wpg:grpSpPr>
                        <a:xfrm>
                          <a:off x="0" y="0"/>
                          <a:ext cx="7543800" cy="11357610"/>
                          <a:chOff x="0" y="-907"/>
                          <a:chExt cx="11880" cy="17886"/>
                        </a:xfrm>
                        <a:effectLst/>
                      </wpg:grpSpPr>
                      <wps:wsp>
                        <wps:cNvPr id="21" name="矩形 21"/>
                        <wps:cNvSpPr/>
                        <wps:spPr>
                          <a:xfrm>
                            <a:off x="6886" y="-877"/>
                            <a:ext cx="4994" cy="17856"/>
                          </a:xfrm>
                          <a:prstGeom prst="rect">
                            <a:avLst/>
                          </a:prstGeom>
                          <a:solidFill>
                            <a:srgbClr val="CCFFCC"/>
                          </a:solidFill>
                          <a:ln w="9525" cap="flat" cmpd="sng">
                            <a:solidFill>
                              <a:srgbClr val="000000"/>
                            </a:solidFill>
                            <a:prstDash val="solid"/>
                            <a:miter/>
                            <a:headEnd type="none" w="med" len="med"/>
                            <a:tailEnd type="none" w="med" len="med"/>
                          </a:ln>
                          <a:effectLst/>
                        </wps:spPr>
                        <wps:txbx>
                          <w:txbxContent>
                            <w:p>
                              <w:pPr>
                                <w:jc w:val="center"/>
                              </w:pPr>
                            </w:p>
                            <w:p>
                              <w:pPr>
                                <w:jc w:val="center"/>
                              </w:pPr>
                            </w:p>
                            <w:p>
                              <w:pPr>
                                <w:jc w:val="center"/>
                              </w:pPr>
                            </w:p>
                          </w:txbxContent>
                        </wps:txbx>
                        <wps:bodyPr upright="1"/>
                      </wps:wsp>
                      <wpg:grpSp>
                        <wpg:cNvPr id="26" name="组合 26"/>
                        <wpg:cNvGrpSpPr/>
                        <wpg:grpSpPr>
                          <a:xfrm>
                            <a:off x="6460" y="-907"/>
                            <a:ext cx="418" cy="17815"/>
                            <a:chOff x="4" y="-967"/>
                            <a:chExt cx="418" cy="17815"/>
                          </a:xfrm>
                          <a:effectLst/>
                        </wpg:grpSpPr>
                        <wps:wsp>
                          <wps:cNvPr id="22" name="直接连接符 22"/>
                          <wps:cNvCnPr/>
                          <wps:spPr>
                            <a:xfrm>
                              <a:off x="101" y="-967"/>
                              <a:ext cx="57" cy="17815"/>
                            </a:xfrm>
                            <a:prstGeom prst="line">
                              <a:avLst/>
                            </a:prstGeom>
                            <a:ln w="12700" cap="flat" cmpd="sng">
                              <a:solidFill>
                                <a:srgbClr val="CCCC00"/>
                              </a:solidFill>
                              <a:prstDash val="solid"/>
                              <a:headEnd type="none" w="med" len="med"/>
                              <a:tailEnd type="none" w="med" len="med"/>
                            </a:ln>
                            <a:effectLst/>
                          </wps:spPr>
                          <wps:bodyPr upright="1"/>
                        </wps:wsp>
                        <wps:wsp>
                          <wps:cNvPr id="23" name="直接连接符 23"/>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24" name="直接连接符 24"/>
                          <wps:cNvCnPr/>
                          <wps:spPr>
                            <a:xfrm flipH="1">
                              <a:off x="4" y="-911"/>
                              <a:ext cx="11" cy="17759"/>
                            </a:xfrm>
                            <a:prstGeom prst="line">
                              <a:avLst/>
                            </a:prstGeom>
                            <a:ln w="12700" cap="flat" cmpd="sng">
                              <a:solidFill>
                                <a:srgbClr val="CCCC00"/>
                              </a:solidFill>
                              <a:prstDash val="solid"/>
                              <a:headEnd type="none" w="med" len="med"/>
                              <a:tailEnd type="none" w="med" len="med"/>
                            </a:ln>
                            <a:effectLst/>
                          </wps:spPr>
                          <wps:bodyPr upright="1"/>
                        </wps:wsp>
                        <wps:wsp>
                          <wps:cNvPr id="25" name="直接连接符 25"/>
                          <wps:cNvCnPr/>
                          <wps:spPr>
                            <a:xfrm>
                              <a:off x="219" y="-915"/>
                              <a:ext cx="62" cy="17763"/>
                            </a:xfrm>
                            <a:prstGeom prst="line">
                              <a:avLst/>
                            </a:prstGeom>
                            <a:ln w="12700" cap="flat" cmpd="sng">
                              <a:solidFill>
                                <a:srgbClr val="CCCC00"/>
                              </a:solidFill>
                              <a:prstDash val="solid"/>
                              <a:headEnd type="none" w="med" len="med"/>
                              <a:tailEnd type="none" w="med" len="med"/>
                            </a:ln>
                            <a:effectLst/>
                          </wps:spPr>
                          <wps:bodyPr upright="1"/>
                        </wps:wsp>
                      </wpg:grpSp>
                      <wps:wsp>
                        <wps:cNvPr id="27" name="文本框 27"/>
                        <wps:cNvSpPr txBox="1"/>
                        <wps:spPr>
                          <a:xfrm>
                            <a:off x="0" y="6396"/>
                            <a:ext cx="11880"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wps:txbx>
                        <wps:bodyPr upright="1"/>
                      </wps:wsp>
                    </wpg:wgp>
                  </a:graphicData>
                </a:graphic>
              </wp:anchor>
            </w:drawing>
          </mc:Choice>
          <mc:Fallback>
            <w:pict>
              <v:group id="组合 1051" o:spid="_x0000_s1026" o:spt="203" style="position:absolute;left:0pt;margin-left:-79.85pt;margin-top:-74.45pt;height:894.3pt;width:594pt;z-index:-251650048;mso-width-relative:page;mso-height-relative:page;" coordorigin="0,-907" coordsize="11880,17886" o:gfxdata="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">
                <o:lock v:ext="edit" aspectratio="f"/>
                <v:rect id="_x0000_s1026" o:spid="_x0000_s1026" o:spt="1" style="position:absolute;left:6886;top:-877;height:17856;width:4994;" fillcolor="#CCFFCC" filled="t" stroked="t" coordsize="21600,21600" o:gfxdata="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se2e/&#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jc w:val="center"/>
                        </w:pPr>
                      </w:p>
                      <w:p>
                        <w:pPr>
                          <w:jc w:val="center"/>
                        </w:pPr>
                      </w:p>
                      <w:p>
                        <w:pPr>
                          <w:jc w:val="center"/>
                        </w:pPr>
                      </w:p>
                    </w:txbxContent>
                  </v:textbox>
                </v:rect>
                <v:group id="_x0000_s1026" o:spid="_x0000_s1026" o:spt="203" style="position:absolute;left:6460;top:-907;height:17815;width:418;" coordorigin="4,-967" coordsize="418,17815"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line id="_x0000_s1026" o:spid="_x0000_s1026" o:spt="20" style="position:absolute;left:101;top:-967;height:17815;width:57;" filled="f" stroked="t" coordsize="21600,21600" o:gfxdata="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QThq/&#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atzrgb8AAADb&#10;AAAADwAAAGRycy9kb3ducmV2LnhtbEWP3WrCQBSE7wu+w3IE7+omFqy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rc64G/&#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top:-911;flip:x;height:17759;width:11;" filled="f" stroked="t" coordsize="21600,21600" o:gfxdata="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d8S/&#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19;top:-915;height:17763;width:62;" filled="f" stroked="t" coordsize="21600,21600" o:gfxdata="UEsDBAoAAAAAAIdO4kAAAAAAAAAAAAAAAAAEAAAAZHJzL1BLAwQUAAAACACHTuJAinnWbr8AAADb&#10;AAAADwAAAGRycy9kb3ducmV2LnhtbEWP3WrCQBSE7wu+w3IE7+omQq2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p51m6/&#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v:shape id="_x0000_s1026" o:spid="_x0000_s1026" o:spt="202" type="#_x0000_t202" style="position:absolute;left:0;top:6396;height:3588;width:11880;" fillcolor="#CC99FF" filled="t" stroked="t" coordsize="21600,21600" o:gfxdata="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K6t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v:textbox>
                </v:shape>
              </v:group>
            </w:pict>
          </mc:Fallback>
        </mc:AlternateContent>
      </w: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ind w:left="0" w:leftChars="0" w:firstLine="0" w:firstLineChars="0"/>
        <w:rPr>
          <w:rFonts w:hint="default" w:ascii="Times New Roman" w:hAnsi="Times New Roman" w:eastAsia="方正黑体_GBK" w:cs="Times New Roman"/>
          <w:b w:val="0"/>
          <w:bCs/>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（一）一般公共预算财政拨款收入：指中央财政当年拨付的资金。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（二）事业收入：指事业单位开展专业业务活动及辅助活动所取得的收入。如原应急管理部消防救援局所主管科研单位开展专用产品检测等专业业务活动及辅助活动所取得的收入。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（三）其他收入：指除上述“一般公共预算财政拨款收入”“事业收入”“事业单位经营收入”等以外的收入。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（四）使用非财政拨款结余：指事业单位使用以前年度积累的非财政拨款结余弥补当年收支差额的金额。</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（五）年初结转和结余：指单位以前年度尚未完成、结转到本年按有关规定继续使用的资金。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（六）科学技术支出（类）应用研究（款）机构运行（项）：指原应急管理部消防救援局所主管承担科研任务事业单位的基本支出。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（七）科学技术支出（类）应用研究（款）社会公益研究（项）：指原应急管理部消防救援局所主管承担科研任务事业单位开展消防技术等社会公益专项科研方面的支出。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（八）科学技术支出（类）科技条件与服务（款）科技条件专项（项）：指财政部核定原应急管理部消防救援局的中央级科学事业单位修缮购置经费。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（九）科学技术支出（类）其他科学技术支出（款）其他科学技术支出（项）：指财政部核定原应急管理部消防救援局的科技业务管理费支出。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（十）社会保障和就业支出（类）行政事业单位养老支出（款）机关事业单位基本养老保险缴费支出（项）：指机关事业单位实施养老保险制度由单位缴纳的基本养老保险费支出。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（十一）社会保障和就业支出（类）行政事业单位养老支出（款）机关事业单位职业年金缴费支出（项）：指机关事业单位实施养老保险制度由单位实际缴纳的职业年金支出。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（十二）卫生健康支出（类）行政事业单位医疗（款）其他行政事业单位医疗支出（项）：指中央财政安排的行政单位（包括参照公务员法管理事业单位）基本医疗保险缴费经费。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（十三）住房保障支出（类）住房改革支出（款）住房公积金（项）：反映行政事业单位按人力资源和社会保障部、财政部规定的基本工资和津贴补贴以及规定比例为职工缴纳的住房公积金。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（十四）住房保障支出（类）住房改革支出（款）提租补贴（项）：反映按房改政策规定的标准，行政事业单位向职工（含离退休人员）发放的租金补贴。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（十五）住房保障支出（类）住房改革支出（款）购房补贴（项）：反映按房改政策规定，行政事业单位向符合条件职工（含离退休人员）发放的用于购买住房的补贴。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（十六）灾害防治及应急管理支出（类）消防事务（款）行政运行（项）：指原应急管理部消防救援局及所属消防救援队伍用于保障机构正常运行、开展日常工作的基本支出。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（十七）灾害防治及应急管理支出（类）消防事务（款）消防应急救援（项）：指原应急管理部消防救援局开展消防应急救援方面的支出。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（十八）结余分配：指事业单位按照会计制度规定缴纳的所得税以及从非财政补助结余中提取的职工福利基金、事业基金等。</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（十九）年末结转和结余：指单位本年度或以前年度预算安排、因客观条件发生变化未全部执行或未执行，结转到以后年度继续使用的资金，或项目已完成等产生的结余资金。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（二十）基本支出：指为保障机构正常运转、完成日常工作任务而发生的人员支出和公用支出。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（二十一）项目支出：指在基本支出之外为完成特定行政任务和事业发展目标所发生的支出。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二）“三公”经费：纳入中央财政预决算管理的“三公”经费，是指中央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安全奖励费用等支出；公务接待费反映单位按规定开支的各类公务接待（含外宾接待）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三）机关运行经费：为保障行政单位（包括参照公务员法管理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sectPr>
      <w:footerReference r:id="rId5" w:type="default"/>
      <w:pgSz w:w="11906" w:h="16838"/>
      <w:pgMar w:top="1418" w:right="1418" w:bottom="1418" w:left="1418" w:header="851" w:footer="272"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隶书">
    <w:altName w:val="微软雅黑"/>
    <w:panose1 w:val="02010509060101010101"/>
    <w:charset w:val="86"/>
    <w:family w:val="modern"/>
    <w:pitch w:val="default"/>
    <w:sig w:usb0="00000000" w:usb1="00000000" w:usb2="00000000" w:usb3="00000000" w:csb0="00040000" w:csb1="00000000"/>
  </w:font>
  <w:font w:name="方正仿宋_GBK">
    <w:panose1 w:val="02000000000000000000"/>
    <w:charset w:val="86"/>
    <w:family w:val="auto"/>
    <w:pitch w:val="default"/>
    <w:sig w:usb0="A00002BF" w:usb1="38CF7CFA" w:usb2="00082016" w:usb3="00000000" w:csb0="00040001" w:csb1="00000000"/>
  </w:font>
  <w:font w:name="方正黑体_GBK">
    <w:panose1 w:val="02000000000000000000"/>
    <w:charset w:val="86"/>
    <w:family w:val="auto"/>
    <w:pitch w:val="default"/>
    <w:sig w:usb0="A00002BF" w:usb1="38CF7CFA" w:usb2="00082016" w:usb3="00000000" w:csb0="00040001"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方正楷体_GBK">
    <w:panose1 w:val="02000000000000000000"/>
    <w:charset w:val="86"/>
    <w:family w:val="auto"/>
    <w:pitch w:val="default"/>
    <w:sig w:usb0="A00002BF" w:usb1="38CF7CFA" w:usb2="00082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separate"/>
    </w:r>
    <w:r>
      <w:rPr>
        <w:rStyle w:val="9"/>
      </w:rPr>
      <w:t>33</w:t>
    </w:r>
    <w:r>
      <w:fldChar w:fldCharType="end"/>
    </w:r>
  </w:p>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end"/>
    </w:r>
  </w:p>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0" w:lineRule="auto"/>
      <w:ind w:left="5020"/>
      <w:rPr>
        <w:rFonts w:ascii="宋体" w:hAnsi="宋体" w:eastAsia="宋体" w:cs="宋体"/>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tv3s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ctv3szAgAAYwQAAA4AAAAAAAAAAQAgAAAAHwEAAGRycy9lMm9Eb2MueG1sUEsF&#10;BgAAAAAGAAYAWQEAAMQFAAAAAA==&#10;">
              <v:fill on="f" focussize="0,0"/>
              <v:stroke on="f" weight="0.5pt"/>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42FE9"/>
    <w:multiLevelType w:val="singleLevel"/>
    <w:tmpl w:val="81142FE9"/>
    <w:lvl w:ilvl="0" w:tentative="0">
      <w:start w:val="1"/>
      <w:numFmt w:val="decimal"/>
      <w:suff w:val="nothing"/>
      <w:lvlText w:val="（%1）"/>
      <w:lvlJc w:val="left"/>
      <w:pPr>
        <w:ind w:left="-10"/>
      </w:pPr>
    </w:lvl>
  </w:abstractNum>
  <w:abstractNum w:abstractNumId="1">
    <w:nsid w:val="2C077BF2"/>
    <w:multiLevelType w:val="singleLevel"/>
    <w:tmpl w:val="2C077BF2"/>
    <w:lvl w:ilvl="0" w:tentative="0">
      <w:start w:val="2"/>
      <w:numFmt w:val="chineseCounting"/>
      <w:suff w:val="nothing"/>
      <w:lvlText w:val="%1、"/>
      <w:lvlJc w:val="left"/>
      <w:rPr>
        <w:rFonts w:hint="eastAsia"/>
      </w:rPr>
    </w:lvl>
  </w:abstractNum>
  <w:abstractNum w:abstractNumId="2">
    <w:nsid w:val="480A7CF5"/>
    <w:multiLevelType w:val="singleLevel"/>
    <w:tmpl w:val="480A7CF5"/>
    <w:lvl w:ilvl="0" w:tentative="0">
      <w:start w:val="6"/>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Q3NTdkYjk3NDQ3OWEyYzUxZmY3MzJjZjYwZGVlNDIifQ=="/>
  </w:docVars>
  <w:rsids>
    <w:rsidRoot w:val="00000000"/>
    <w:rsid w:val="005E00A7"/>
    <w:rsid w:val="007F67B9"/>
    <w:rsid w:val="0124393E"/>
    <w:rsid w:val="0147421F"/>
    <w:rsid w:val="01AF1E19"/>
    <w:rsid w:val="01CC1E79"/>
    <w:rsid w:val="0241373A"/>
    <w:rsid w:val="02521EA5"/>
    <w:rsid w:val="02537791"/>
    <w:rsid w:val="026D0B9E"/>
    <w:rsid w:val="02BE0FAC"/>
    <w:rsid w:val="02E34766"/>
    <w:rsid w:val="03C427E2"/>
    <w:rsid w:val="043E5DD4"/>
    <w:rsid w:val="04934320"/>
    <w:rsid w:val="04ED6701"/>
    <w:rsid w:val="050C63CF"/>
    <w:rsid w:val="056B1E7D"/>
    <w:rsid w:val="05A7589B"/>
    <w:rsid w:val="05BC48C4"/>
    <w:rsid w:val="06617163"/>
    <w:rsid w:val="06686DF5"/>
    <w:rsid w:val="0698547C"/>
    <w:rsid w:val="06C91078"/>
    <w:rsid w:val="075D09BE"/>
    <w:rsid w:val="08374D77"/>
    <w:rsid w:val="0974420F"/>
    <w:rsid w:val="0A144A34"/>
    <w:rsid w:val="0A5C77E3"/>
    <w:rsid w:val="0AF529EA"/>
    <w:rsid w:val="0B206B85"/>
    <w:rsid w:val="0B3323CC"/>
    <w:rsid w:val="0B9D5E86"/>
    <w:rsid w:val="0C4C27C7"/>
    <w:rsid w:val="0C8A601F"/>
    <w:rsid w:val="0D0A1954"/>
    <w:rsid w:val="0EC20A13"/>
    <w:rsid w:val="0EDF09B2"/>
    <w:rsid w:val="0EFC571E"/>
    <w:rsid w:val="0F0A36D7"/>
    <w:rsid w:val="0F5A1ED7"/>
    <w:rsid w:val="0FB96A67"/>
    <w:rsid w:val="0FD712AB"/>
    <w:rsid w:val="0FDA1B1D"/>
    <w:rsid w:val="102417E5"/>
    <w:rsid w:val="1061083D"/>
    <w:rsid w:val="10EE4F27"/>
    <w:rsid w:val="1141703B"/>
    <w:rsid w:val="11440C8B"/>
    <w:rsid w:val="11DA25CD"/>
    <w:rsid w:val="11F57678"/>
    <w:rsid w:val="11FE4A9B"/>
    <w:rsid w:val="13A000D6"/>
    <w:rsid w:val="13CC63DC"/>
    <w:rsid w:val="143722CD"/>
    <w:rsid w:val="145C0FDD"/>
    <w:rsid w:val="14D6646B"/>
    <w:rsid w:val="14D701B8"/>
    <w:rsid w:val="15081273"/>
    <w:rsid w:val="152A7BB5"/>
    <w:rsid w:val="159563E6"/>
    <w:rsid w:val="161440BC"/>
    <w:rsid w:val="16217B61"/>
    <w:rsid w:val="171C3A74"/>
    <w:rsid w:val="17A61222"/>
    <w:rsid w:val="17B036B7"/>
    <w:rsid w:val="17CE0B8D"/>
    <w:rsid w:val="17E4595A"/>
    <w:rsid w:val="187D4E25"/>
    <w:rsid w:val="18A32A9D"/>
    <w:rsid w:val="18D378B6"/>
    <w:rsid w:val="192A65EA"/>
    <w:rsid w:val="194838C9"/>
    <w:rsid w:val="1A135F96"/>
    <w:rsid w:val="1A1A4C37"/>
    <w:rsid w:val="1A1A683B"/>
    <w:rsid w:val="1A43751A"/>
    <w:rsid w:val="1B005770"/>
    <w:rsid w:val="1B444887"/>
    <w:rsid w:val="1B7D216B"/>
    <w:rsid w:val="1C2A718A"/>
    <w:rsid w:val="1C5A4A34"/>
    <w:rsid w:val="1C7E6912"/>
    <w:rsid w:val="1CA446AB"/>
    <w:rsid w:val="1D127276"/>
    <w:rsid w:val="1D1F0DF2"/>
    <w:rsid w:val="1DE756D4"/>
    <w:rsid w:val="1E19319A"/>
    <w:rsid w:val="1E490475"/>
    <w:rsid w:val="1E4C7A6E"/>
    <w:rsid w:val="1E644BA7"/>
    <w:rsid w:val="1E791B9F"/>
    <w:rsid w:val="1EBC4EB0"/>
    <w:rsid w:val="1EBD6B08"/>
    <w:rsid w:val="1F0F1237"/>
    <w:rsid w:val="1F256F74"/>
    <w:rsid w:val="1F7749B5"/>
    <w:rsid w:val="20384E8A"/>
    <w:rsid w:val="20530318"/>
    <w:rsid w:val="207424C0"/>
    <w:rsid w:val="20DB6F05"/>
    <w:rsid w:val="218E4891"/>
    <w:rsid w:val="21A50E43"/>
    <w:rsid w:val="22386D07"/>
    <w:rsid w:val="22EC2BE6"/>
    <w:rsid w:val="230E7C03"/>
    <w:rsid w:val="23AD72E0"/>
    <w:rsid w:val="24CD101A"/>
    <w:rsid w:val="24D20559"/>
    <w:rsid w:val="25277CBA"/>
    <w:rsid w:val="25617EE2"/>
    <w:rsid w:val="25637164"/>
    <w:rsid w:val="25926BC0"/>
    <w:rsid w:val="261D32C2"/>
    <w:rsid w:val="26A8510F"/>
    <w:rsid w:val="271A69DB"/>
    <w:rsid w:val="2845500A"/>
    <w:rsid w:val="28685CFD"/>
    <w:rsid w:val="28796811"/>
    <w:rsid w:val="28FE4558"/>
    <w:rsid w:val="290C0B98"/>
    <w:rsid w:val="29141705"/>
    <w:rsid w:val="29237516"/>
    <w:rsid w:val="293324A5"/>
    <w:rsid w:val="299073BB"/>
    <w:rsid w:val="29FE621A"/>
    <w:rsid w:val="2A423C54"/>
    <w:rsid w:val="2A4A4B09"/>
    <w:rsid w:val="2AEC089C"/>
    <w:rsid w:val="2B725864"/>
    <w:rsid w:val="2BC50EDB"/>
    <w:rsid w:val="2C1D6834"/>
    <w:rsid w:val="2C24323B"/>
    <w:rsid w:val="2E030A9F"/>
    <w:rsid w:val="2E035BC5"/>
    <w:rsid w:val="2E6B28A3"/>
    <w:rsid w:val="2EAE163F"/>
    <w:rsid w:val="2EE74530"/>
    <w:rsid w:val="2F2C4F3E"/>
    <w:rsid w:val="2FB0509C"/>
    <w:rsid w:val="2FC1370A"/>
    <w:rsid w:val="2FDC0B92"/>
    <w:rsid w:val="300955EF"/>
    <w:rsid w:val="30257C6D"/>
    <w:rsid w:val="307E3F7E"/>
    <w:rsid w:val="30D26740"/>
    <w:rsid w:val="311C1718"/>
    <w:rsid w:val="31D024A0"/>
    <w:rsid w:val="32060A58"/>
    <w:rsid w:val="338804E0"/>
    <w:rsid w:val="33B03DD0"/>
    <w:rsid w:val="33E7077A"/>
    <w:rsid w:val="33E977DA"/>
    <w:rsid w:val="34080F64"/>
    <w:rsid w:val="346F52E9"/>
    <w:rsid w:val="34941857"/>
    <w:rsid w:val="34F22123"/>
    <w:rsid w:val="354D73C8"/>
    <w:rsid w:val="354F62E6"/>
    <w:rsid w:val="35BD63D1"/>
    <w:rsid w:val="36C8472D"/>
    <w:rsid w:val="37100C5A"/>
    <w:rsid w:val="37196088"/>
    <w:rsid w:val="382247D0"/>
    <w:rsid w:val="38777AE4"/>
    <w:rsid w:val="38EA0AD5"/>
    <w:rsid w:val="38F95FD4"/>
    <w:rsid w:val="395E1D74"/>
    <w:rsid w:val="3A195218"/>
    <w:rsid w:val="3A6B0B30"/>
    <w:rsid w:val="3A6D7698"/>
    <w:rsid w:val="3A9E3120"/>
    <w:rsid w:val="3AC62D39"/>
    <w:rsid w:val="3AFD4CD5"/>
    <w:rsid w:val="3B265513"/>
    <w:rsid w:val="3B725DC8"/>
    <w:rsid w:val="3B7D7B3D"/>
    <w:rsid w:val="3B7F2F38"/>
    <w:rsid w:val="3C097044"/>
    <w:rsid w:val="3C5862E5"/>
    <w:rsid w:val="3C87049A"/>
    <w:rsid w:val="3CCF4D65"/>
    <w:rsid w:val="3E57404C"/>
    <w:rsid w:val="3E7A1DBD"/>
    <w:rsid w:val="3FC40C6B"/>
    <w:rsid w:val="40FA4656"/>
    <w:rsid w:val="411F03C0"/>
    <w:rsid w:val="41B761E1"/>
    <w:rsid w:val="42263002"/>
    <w:rsid w:val="42D72088"/>
    <w:rsid w:val="430A3435"/>
    <w:rsid w:val="432D5990"/>
    <w:rsid w:val="435A53BD"/>
    <w:rsid w:val="44271EF9"/>
    <w:rsid w:val="443F5AC6"/>
    <w:rsid w:val="44E027F3"/>
    <w:rsid w:val="44E55A75"/>
    <w:rsid w:val="46100B63"/>
    <w:rsid w:val="46825774"/>
    <w:rsid w:val="46D33982"/>
    <w:rsid w:val="470E153E"/>
    <w:rsid w:val="47161B18"/>
    <w:rsid w:val="47193DC6"/>
    <w:rsid w:val="47492560"/>
    <w:rsid w:val="477A06C6"/>
    <w:rsid w:val="48380192"/>
    <w:rsid w:val="488B3DDF"/>
    <w:rsid w:val="49B002C2"/>
    <w:rsid w:val="49EB6075"/>
    <w:rsid w:val="4B7F6570"/>
    <w:rsid w:val="4BA87D31"/>
    <w:rsid w:val="4C233C13"/>
    <w:rsid w:val="4CA11E29"/>
    <w:rsid w:val="4CF63BDA"/>
    <w:rsid w:val="4DF55D56"/>
    <w:rsid w:val="4E2A2CB2"/>
    <w:rsid w:val="4EB41E49"/>
    <w:rsid w:val="4EE52CE5"/>
    <w:rsid w:val="4F59656B"/>
    <w:rsid w:val="4F5A5229"/>
    <w:rsid w:val="4F8A4BFC"/>
    <w:rsid w:val="4FB9608B"/>
    <w:rsid w:val="50B461CE"/>
    <w:rsid w:val="50E826E5"/>
    <w:rsid w:val="514160CE"/>
    <w:rsid w:val="519867F0"/>
    <w:rsid w:val="51BB547C"/>
    <w:rsid w:val="51DA65BE"/>
    <w:rsid w:val="53001877"/>
    <w:rsid w:val="53C54A4C"/>
    <w:rsid w:val="53E4304B"/>
    <w:rsid w:val="542A6845"/>
    <w:rsid w:val="5444581F"/>
    <w:rsid w:val="54DD436E"/>
    <w:rsid w:val="553D17ED"/>
    <w:rsid w:val="557A532F"/>
    <w:rsid w:val="565F7A74"/>
    <w:rsid w:val="56BE443B"/>
    <w:rsid w:val="56FA0844"/>
    <w:rsid w:val="577A3B6D"/>
    <w:rsid w:val="57953FE0"/>
    <w:rsid w:val="58991074"/>
    <w:rsid w:val="58A177E1"/>
    <w:rsid w:val="58C00B94"/>
    <w:rsid w:val="597720D9"/>
    <w:rsid w:val="59BE7B76"/>
    <w:rsid w:val="59DE45EC"/>
    <w:rsid w:val="59E349F3"/>
    <w:rsid w:val="5A47354B"/>
    <w:rsid w:val="5A71454B"/>
    <w:rsid w:val="5ACB5F11"/>
    <w:rsid w:val="5B7D2579"/>
    <w:rsid w:val="5BAA4E6E"/>
    <w:rsid w:val="5C5174E9"/>
    <w:rsid w:val="5C683A4B"/>
    <w:rsid w:val="5D834E6B"/>
    <w:rsid w:val="5DDC3564"/>
    <w:rsid w:val="5E040160"/>
    <w:rsid w:val="5E346E96"/>
    <w:rsid w:val="5EB3190C"/>
    <w:rsid w:val="5FD820AD"/>
    <w:rsid w:val="60625D14"/>
    <w:rsid w:val="60715E09"/>
    <w:rsid w:val="60BD35BF"/>
    <w:rsid w:val="60D634A2"/>
    <w:rsid w:val="60F639EC"/>
    <w:rsid w:val="61613BAE"/>
    <w:rsid w:val="616E0536"/>
    <w:rsid w:val="618761EB"/>
    <w:rsid w:val="61FA56CF"/>
    <w:rsid w:val="61FD0132"/>
    <w:rsid w:val="62083CBE"/>
    <w:rsid w:val="621274B1"/>
    <w:rsid w:val="623A7D56"/>
    <w:rsid w:val="6329522E"/>
    <w:rsid w:val="63454B16"/>
    <w:rsid w:val="634F110A"/>
    <w:rsid w:val="642755A1"/>
    <w:rsid w:val="643B7135"/>
    <w:rsid w:val="646A6E77"/>
    <w:rsid w:val="64C94FFC"/>
    <w:rsid w:val="65386045"/>
    <w:rsid w:val="656051C5"/>
    <w:rsid w:val="65807633"/>
    <w:rsid w:val="65845440"/>
    <w:rsid w:val="65A65727"/>
    <w:rsid w:val="65EB48F5"/>
    <w:rsid w:val="660D352F"/>
    <w:rsid w:val="669C0D6D"/>
    <w:rsid w:val="66B231EB"/>
    <w:rsid w:val="66D56845"/>
    <w:rsid w:val="675533D7"/>
    <w:rsid w:val="67625908"/>
    <w:rsid w:val="67D740CF"/>
    <w:rsid w:val="67F46B26"/>
    <w:rsid w:val="687C2582"/>
    <w:rsid w:val="68961D6D"/>
    <w:rsid w:val="69754C84"/>
    <w:rsid w:val="69FB2E62"/>
    <w:rsid w:val="6AAF494E"/>
    <w:rsid w:val="6ADE4B32"/>
    <w:rsid w:val="6B420CC8"/>
    <w:rsid w:val="6C9365FA"/>
    <w:rsid w:val="6CDA729A"/>
    <w:rsid w:val="6CE837C3"/>
    <w:rsid w:val="6D251304"/>
    <w:rsid w:val="6D295373"/>
    <w:rsid w:val="6D2F67B2"/>
    <w:rsid w:val="6D6937FA"/>
    <w:rsid w:val="6D800B12"/>
    <w:rsid w:val="6D9428B9"/>
    <w:rsid w:val="6E7F5E9C"/>
    <w:rsid w:val="6E903BA8"/>
    <w:rsid w:val="6EFA247C"/>
    <w:rsid w:val="6F3A5094"/>
    <w:rsid w:val="6F944408"/>
    <w:rsid w:val="6FB64420"/>
    <w:rsid w:val="70155528"/>
    <w:rsid w:val="70255154"/>
    <w:rsid w:val="707A623A"/>
    <w:rsid w:val="709B40A8"/>
    <w:rsid w:val="70D5663B"/>
    <w:rsid w:val="715A02AF"/>
    <w:rsid w:val="71D51E82"/>
    <w:rsid w:val="72C93093"/>
    <w:rsid w:val="73A42397"/>
    <w:rsid w:val="73EE79E1"/>
    <w:rsid w:val="743728BC"/>
    <w:rsid w:val="74447DA5"/>
    <w:rsid w:val="75CF52CC"/>
    <w:rsid w:val="75F10776"/>
    <w:rsid w:val="768026AD"/>
    <w:rsid w:val="775159A8"/>
    <w:rsid w:val="780554DA"/>
    <w:rsid w:val="785903B8"/>
    <w:rsid w:val="78B768D5"/>
    <w:rsid w:val="78E862B9"/>
    <w:rsid w:val="79D11E63"/>
    <w:rsid w:val="7A7045AA"/>
    <w:rsid w:val="7AB556F4"/>
    <w:rsid w:val="7AD01744"/>
    <w:rsid w:val="7B250CEC"/>
    <w:rsid w:val="7B7003EA"/>
    <w:rsid w:val="7B75757D"/>
    <w:rsid w:val="7B9D5D8B"/>
    <w:rsid w:val="7C533A76"/>
    <w:rsid w:val="7CCB683E"/>
    <w:rsid w:val="7D012012"/>
    <w:rsid w:val="7D16623F"/>
    <w:rsid w:val="7D456B9F"/>
    <w:rsid w:val="7D63433E"/>
    <w:rsid w:val="7D9045B2"/>
    <w:rsid w:val="7DB2232D"/>
    <w:rsid w:val="7DED55C7"/>
    <w:rsid w:val="7E8B2493"/>
    <w:rsid w:val="7EE9144A"/>
    <w:rsid w:val="7EF90995"/>
    <w:rsid w:val="7F734F0A"/>
    <w:rsid w:val="7F780D65"/>
    <w:rsid w:val="7FA166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3"/>
    <w:basedOn w:val="1"/>
    <w:next w:val="1"/>
    <w:autoRedefine/>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autoRedefine/>
    <w:semiHidden/>
    <w:qFormat/>
    <w:uiPriority w:val="0"/>
  </w:style>
  <w:style w:type="table" w:default="1" w:styleId="6">
    <w:name w:val="Normal Table"/>
    <w:autoRedefine/>
    <w:semiHidden/>
    <w:qFormat/>
    <w:uiPriority w:val="0"/>
    <w:tblPr>
      <w:tblCellMar>
        <w:top w:w="0" w:type="dxa"/>
        <w:left w:w="108" w:type="dxa"/>
        <w:bottom w:w="0" w:type="dxa"/>
        <w:right w:w="108" w:type="dxa"/>
      </w:tblCellMar>
    </w:tblPr>
  </w:style>
  <w:style w:type="paragraph" w:styleId="2">
    <w:name w:val="Normal Indent"/>
    <w:basedOn w:val="1"/>
    <w:autoRedefine/>
    <w:unhideWhenUsed/>
    <w:qFormat/>
    <w:uiPriority w:val="99"/>
    <w:pPr>
      <w:spacing w:line="440" w:lineRule="exact"/>
      <w:ind w:firstLine="480" w:firstLineChars="200"/>
    </w:pPr>
  </w:style>
  <w:style w:type="paragraph" w:styleId="4">
    <w:name w:val="footer"/>
    <w:basedOn w:val="1"/>
    <w:autoRedefine/>
    <w:qFormat/>
    <w:uiPriority w:val="0"/>
    <w:pPr>
      <w:tabs>
        <w:tab w:val="center" w:pos="4153"/>
        <w:tab w:val="right" w:pos="8306"/>
      </w:tabs>
      <w:snapToGrid w:val="0"/>
      <w:jc w:val="left"/>
    </w:pPr>
    <w:rPr>
      <w:sz w:val="18"/>
      <w:szCs w:val="18"/>
    </w:rPr>
  </w:style>
  <w:style w:type="paragraph" w:styleId="5">
    <w:name w:val="Normal (Web)"/>
    <w:basedOn w:val="1"/>
    <w:autoRedefine/>
    <w:qFormat/>
    <w:uiPriority w:val="0"/>
    <w:pPr>
      <w:widowControl/>
      <w:spacing w:before="100" w:beforeAutospacing="1" w:after="100" w:afterAutospacing="1"/>
      <w:jc w:val="left"/>
    </w:pPr>
    <w:rPr>
      <w:rFonts w:ascii="宋体" w:hAnsi="宋体" w:cs="宋体"/>
      <w:kern w:val="0"/>
      <w:sz w:val="24"/>
    </w:rPr>
  </w:style>
  <w:style w:type="character" w:styleId="8">
    <w:name w:val="Strong"/>
    <w:basedOn w:val="7"/>
    <w:autoRedefine/>
    <w:qFormat/>
    <w:uiPriority w:val="0"/>
    <w:rPr>
      <w:b/>
    </w:rPr>
  </w:style>
  <w:style w:type="character" w:styleId="9">
    <w:name w:val="page number"/>
    <w:basedOn w:val="7"/>
    <w:autoRedefine/>
    <w:qFormat/>
    <w:uiPriority w:val="0"/>
  </w:style>
  <w:style w:type="character" w:customStyle="1" w:styleId="10">
    <w:name w:val="rbtn"/>
    <w:basedOn w:val="7"/>
    <w:autoRedefine/>
    <w:qFormat/>
    <w:uiPriority w:val="0"/>
    <w:rPr>
      <w:color w:val="469DEA"/>
      <w:bdr w:val="single" w:color="E5E5E5" w:sz="6" w:space="0"/>
    </w:rPr>
  </w:style>
  <w:style w:type="character" w:customStyle="1" w:styleId="11">
    <w:name w:val="rbtn1"/>
    <w:basedOn w:val="7"/>
    <w:autoRedefine/>
    <w:qFormat/>
    <w:uiPriority w:val="0"/>
    <w:rPr>
      <w:color w:val="469DEA"/>
      <w:sz w:val="21"/>
      <w:szCs w:val="21"/>
      <w:bdr w:val="single" w:color="E5E5E5" w:sz="6" w:space="0"/>
    </w:rPr>
  </w:style>
  <w:style w:type="character" w:customStyle="1" w:styleId="12">
    <w:name w:val="hilite6"/>
    <w:basedOn w:val="7"/>
    <w:autoRedefine/>
    <w:qFormat/>
    <w:uiPriority w:val="0"/>
    <w:rPr>
      <w:color w:val="FFFFFF"/>
      <w:shd w:val="clear" w:fill="666677"/>
    </w:rPr>
  </w:style>
  <w:style w:type="character" w:customStyle="1" w:styleId="13">
    <w:name w:val="active6"/>
    <w:basedOn w:val="7"/>
    <w:autoRedefine/>
    <w:qFormat/>
    <w:uiPriority w:val="0"/>
    <w:rPr>
      <w:color w:val="00FF00"/>
      <w:shd w:val="clear" w:fill="000000"/>
    </w:rPr>
  </w:style>
  <w:style w:type="character" w:customStyle="1" w:styleId="14">
    <w:name w:val="edit"/>
    <w:basedOn w:val="7"/>
    <w:autoRedefine/>
    <w:qFormat/>
    <w:uiPriority w:val="0"/>
    <w:rPr>
      <w:bdr w:val="single" w:color="E67200" w:sz="6" w:space="0"/>
      <w:shd w:val="clear" w:fill="FBFFCC"/>
    </w:rPr>
  </w:style>
  <w:style w:type="table" w:customStyle="1" w:styleId="15">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4144</Words>
  <Characters>4388</Characters>
  <Lines>0</Lines>
  <Paragraphs>0</Paragraphs>
  <TotalTime>0</TotalTime>
  <ScaleCrop>false</ScaleCrop>
  <LinksUpToDate>false</LinksUpToDate>
  <CharactersWithSpaces>4419</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2020-06-08T03:20:00Z</dcterms:created>
  <dc:creator>Administrator</dc:creator>
  <cp:lastModifiedBy>阿勒泰支队</cp:lastModifiedBy>
  <cp:lastPrinted>2023-08-11T03:39:00Z</cp:lastPrinted>
  <dcterms:modified xsi:type="dcterms:W3CDTF">2025-08-22T03:33:24Z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286058643_btnclosed</vt:lpwstr>
  </property>
  <property fmtid="{D5CDD505-2E9C-101B-9397-08002B2CF9AE}" pid="4" name="ICV">
    <vt:lpwstr>495F4E21C7CB4E79B9F872D5F1ADC547_13</vt:lpwstr>
  </property>
  <property fmtid="{D5CDD505-2E9C-101B-9397-08002B2CF9AE}" pid="5" name="KSOTemplateDocerSaveRecord">
    <vt:lpwstr>eyJoZGlkIjoiNDQ2NGJmOTQwNjMwYTI3NDNlZTllNzIxZGUwN2I5MjEiLCJ1c2VySWQiOiIyOTIxODk4ODAifQ==</vt:lpwstr>
  </property>
</Properties>
</file>